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June</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June 18,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June, unless the change is exempt from current reporting (see below), you are required to file a Form 4 with the Securities and Exchange Commission ("SEC").  The Form 4 must be mailed in time to reach the SEC by the 10th of July.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David W. Delainey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Kevin P. Hannon</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Lou L. Pai</w:t>
      </w:r>
    </w:p>
    <w:p>
      <w:pPr>
        <w:pStyle w:val="Normal"/>
        <w:rPr>
          <w:rFonts w:cs="Arial"/>
          <w:color w:val="000000"/>
          <w:sz w:val="18"/>
        </w:rPr>
      </w:pPr>
      <w:r>
        <w:rPr>
          <w:rFonts w:cs="Arial"/>
          <w:color w:val="000000"/>
          <w:sz w:val="18"/>
        </w:rPr>
        <w:t>John R. Sherriff</w:t>
      </w:r>
    </w:p>
    <w:p>
      <w:pPr>
        <w:pStyle w:val="Normal"/>
        <w:rPr>
          <w:rFonts w:cs="Arial"/>
          <w:color w:val="000000"/>
          <w:sz w:val="18"/>
        </w:rPr>
      </w:pPr>
      <w:r>
        <w:rPr>
          <w:rFonts w:cs="Arial"/>
          <w:color w:val="000000"/>
          <w:sz w:val="18"/>
        </w:rPr>
        <w:t>Greg L. Whalley</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2001-06-18T10:46:00Z</dcterms:modified>
  <cp:revision>61</cp:revision>
  <dc:subject>The Subject of the Memo</dc:subject>
  <dc:title>Better, Faster, Simpler Memo </dc:title>
</cp:coreProperties>
</file>