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All Directors and Section 16 Officers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Rebecca C. Carter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Corporate Secretary</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tSubject"/>
            <w:bookmarkStart w:id="3" w:name="Subject"/>
            <w:bookmarkEnd w:id="2"/>
            <w:bookmarkEnd w:id="3"/>
            <w:r>
              <w:rPr/>
              <w:t>Monthly Transaction Reminder Form 4 for May</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May 16, 2001</w:t>
            </w:r>
          </w:p>
        </w:tc>
      </w:tr>
    </w:tbl>
    <w:p>
      <w:pPr>
        <w:pStyle w:val="Body"/>
        <w:jc w:val="both"/>
        <w:rPr/>
      </w:pPr>
      <w:r>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bookmarkStart w:id="4" w:name="StartOfMemo"/>
      <w:bookmarkEnd w:id="4"/>
      <w:r>
        <w:rPr/>
        <w:tab/>
      </w:r>
      <w:r>
        <w:rPr>
          <w:sz w:val="20"/>
        </w:rPr>
        <w:t xml:space="preserve">This memorandum is to remind you that if there is any change in your beneficial ownership of Enron Corp., Enron Capital LLC or Enron Capital Resources, L.P. stock during May, unless the change is exempt from current reporting (see below), you are required to file a Form 4 with the Securities and Exchange Commission ("SEC").  The Form 4 must be mailed in time to reach the SEC by the 10th of June.  It is imperative that you review a draft of your Form 4 with Elaine Overturf </w:t>
      </w:r>
      <w:r>
        <w:rPr>
          <w:sz w:val="20"/>
          <w:u w:val="single"/>
        </w:rPr>
        <w:t>before</w:t>
      </w:r>
      <w:r>
        <w:rPr>
          <w:sz w:val="20"/>
        </w:rPr>
        <w:t xml:space="preserve"> you file it.  </w:t>
      </w:r>
      <w:r>
        <w:rPr>
          <w:b/>
          <w:sz w:val="20"/>
        </w:rPr>
        <w:t>Failure to report any transaction on a timely basis will result in mandated disclosure of your violation in next year's Proxy Statement and Form 10-K (specifically referencing your name).</w:t>
      </w:r>
      <w:r>
        <w:rPr>
          <w:sz w:val="20"/>
        </w:rPr>
        <w:t xml:space="preserve">  Also, please call Elaine Overturf at (713) 853-6062 (Fax No. (713) 646-3754) if you need a copy of a sample Form 4 or the Form 4 instructions, or if you need assistance in preparing your Form 4 or in determining whether or not a filing is required.</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In general, you must report transactions involving stock listed in your name, the name of your spouse, children and relatives sharing your household, as well as other entities such as trusts, corporations and partnerships in which you have an interest.  In addition to purchases and sales, you must now also report on Form 4 any stock option exercises or conversions of convertible securities and any intra-plan transfers or cash distributions from the Enron Stock Fund if the election to make any such transaction occurred within six months of an election to make an opposite way (buy/sell or sell/buy) transaction in any plan with an Enron Stock Fund.  In addition, you must report on Form 4 your end-of-month holdings even if the transactions which may have changed such holdings were exempt from reporting, such as acquisitions from payroll deductions or dividend reinvestment in the Savings Plan, transfers of shares from the ESOP to the Savings Plan or to an IRA, gifts to family members who share your home, acquisitions or dispositions from divorce settlements, stock splits, etc.  Therefore, it is very important that you provide Elaine with any changes in your end-of-month holdings each time you are required to file a Form 4.  Certain transactions are now generally exempt from current reporting and, instead, are reportable on an annual basis after year-end on Form 5; however, these transactions may be reported earlier on a Form 4.  Examples of exempt transactions which may be reported on Form 5 are (1) voluntary intra-plan transfers or cash distributions from an Enron Stock Fund for which the election relating to such transaction took place at least six months after any opposite way election, (2) any stock option grants, restricted awards or purchases from Enron or one of its employee benefit plans which had the prior approval of the Board or the Compensation and Management Development Committee, (3) small acquisitions, (4) gifts to others who do not share your home, (5) inheritances, and (6) sales to Enron which had the prior approval of the Board or the Compensation and Management Development Committee.</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In summary, you are obligated to report, whether on Form 4 or on year-end Form 5, either all of the transactions or the results of all of the transactions in your end-of-month holdings directly or indirectly affecting Enron stock ownership by you, your immediate family and other entities in which you have an interest.  The Forms allow you to disclaim beneficial ownership in reported shares in certain circumstances.</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sz w:val="20"/>
        </w:rPr>
        <w:tab/>
        <w:t xml:space="preserve">Please note that the Form 4 will be deemed timely filed if you can demonstrate that the Form was deposited with a third-party mail or courier service that guarantees delivery to the SEC by the due date, even if it is not received by the SEC until after the due date.  To rely on this provision, you must retain the receipt or airbill from the third-party delivery service, indicating that the report was received by the third-party service in time for proper filing with the SEC by the required date. </w:t>
      </w:r>
      <w:r>
        <w:rPr>
          <w:b/>
          <w:sz w:val="20"/>
        </w:rPr>
        <w:t>Because of the uncertainty of the U.S. mail and the importance of making timely filings, we request that all future filings made by Executive Officers and Directors of Enron Corp. to the SEC be done by third-party overnight couriers  (such as FedEx or a like service) and that each filer retain the receipt or airbill from such courier indicating date and time of delivery to courier service.  If requested, the Corporate Secretary Department stands ready to make the required SEC filing for any of the Executive Officers or Directors.</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Duplicated or facsimile signatures will now be considered manual signatures provided the original signed document is retained by the filer for five years and available to the SEC upon request.  We recommend that you keep an original signed document in your file and send one to Elaine as a backup copy.</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t>Copies of you Forms 4 should be delivered to:</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w:t>
        <w:tab/>
        <w:t>Securities and Exchange Commission</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450 Fifth Street, NW</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Attention:  Filing Desk</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Stop 1-4</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Washington, DC  20549</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(Overnight courier -- three copies)*</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(ii)</w:t>
        <w:tab/>
        <w:t>New York Stock Exchange</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Department of Stock List</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20 Broad Street</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New York, NY  10005</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(Regular mail -- one copy)*</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(iii)</w:t>
        <w:tab/>
        <w:t>Elaine V. Overturf</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Enron Corp.</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1400 Smith Street, Suite 4839D</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Houston, Texas  77002</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(Regular mail -- one manually signed original of your Form 4 with your cover</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letter and a copy of your third-party overnight delivery service airbill to the SEC)</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numPr>
          <w:ilvl w:val="0"/>
          <w:numId w:val="2"/>
        </w:numPr>
        <w:tabs>
          <w:tab w:val="left" w:pos="-1440" w:leader="none"/>
          <w:tab w:val="left" w:pos="-720" w:leader="none"/>
          <w:tab w:val="left" w:pos="5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540" w:start="540" w:end="0"/>
        <w:rPr>
          <w:sz w:val="20"/>
        </w:rPr>
      </w:pPr>
      <w:r>
        <w:rPr>
          <w:sz w:val="20"/>
        </w:rPr>
        <w:t>Document Disclosure Team</w:t>
        <w:br/>
        <w:t xml:space="preserve">UK Listing Authority </w:t>
        <w:br/>
        <w:t>Financial Service Authority</w:t>
      </w:r>
    </w:p>
    <w:p>
      <w:pPr>
        <w:pStyle w:val="Normal"/>
        <w:tabs>
          <w:tab w:val="left" w:pos="-1440" w:leader="none"/>
          <w:tab w:val="left" w:pos="-72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540" w:end="0"/>
        <w:jc w:val="both"/>
        <w:rPr>
          <w:sz w:val="20"/>
        </w:rPr>
      </w:pPr>
      <w:r>
        <w:rPr>
          <w:sz w:val="20"/>
        </w:rPr>
        <w:t>Old Broad Street</w:t>
      </w:r>
    </w:p>
    <w:p>
      <w:pPr>
        <w:pStyle w:val="BodyTextIndent"/>
        <w:rPr/>
      </w:pPr>
      <w:r>
        <w:rPr/>
        <w:t>London EC2N1LA, ENGLAND</w:t>
        <w:br/>
        <w:t>(Airmail  - one copy- for Directors only)*</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*Faxed or photocopied signatures acceptable.</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sz w:val="20"/>
        </w:rPr>
        <w:tab/>
        <w:t xml:space="preserve">If you are contemplating a transaction in Company stock, be sure that you first review with Elaine whether such transaction could result in a short-swing profit pursuant to Section 16(b).  In addition, if you are considered an affiliate ("control person") of the Company, you must comply with all applicable requirements of Rule 144 before you sell any Company stock (please note:  although Rule 144 does not provide a specific definition of who is an affiliate or "control person", the Staff of the SEC presumes that all directors and executive officers of a company are affiliates and the burden of proving otherwise falls on the executive; a person is free to disclaim his/her status as an affiliate in the Remarks section of the Form 144).  </w:t>
      </w:r>
      <w:r>
        <w:rPr>
          <w:b/>
          <w:sz w:val="20"/>
        </w:rPr>
        <w:t>Elaine will be glad to assist you in preparing your 144 Form which must be mailed to the SEC no later than on the date you place your sell order with your broker.</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r>
        <w:br w:type="page"/>
      </w:r>
    </w:p>
    <w:p>
      <w:pPr>
        <w:pStyle w:val="Normal"/>
        <w:tabs>
          <w:tab w:val="left" w:pos="540" w:leader="none"/>
          <w:tab w:val="left" w:pos="720" w:leader="none"/>
        </w:tabs>
        <w:rPr>
          <w:sz w:val="20"/>
        </w:rPr>
      </w:pPr>
      <w:r>
        <w:rPr>
          <w:sz w:val="20"/>
        </w:rPr>
        <w:t>To all Directors and Section 16 Officers of Enron Corp.:</w:t>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t>Robert A. Belfer</w:t>
      </w:r>
    </w:p>
    <w:p>
      <w:pPr>
        <w:pStyle w:val="Normal"/>
        <w:tabs>
          <w:tab w:val="left" w:pos="540" w:leader="none"/>
          <w:tab w:val="left" w:pos="720" w:leader="none"/>
        </w:tabs>
        <w:rPr>
          <w:sz w:val="20"/>
        </w:rPr>
      </w:pPr>
      <w:r>
        <w:rPr>
          <w:sz w:val="20"/>
        </w:rPr>
        <w:t>Norman P. Blake, Jr.</w:t>
      </w:r>
    </w:p>
    <w:p>
      <w:pPr>
        <w:pStyle w:val="Normal"/>
        <w:tabs>
          <w:tab w:val="left" w:pos="540" w:leader="none"/>
          <w:tab w:val="left" w:pos="720" w:leader="none"/>
        </w:tabs>
        <w:rPr>
          <w:sz w:val="20"/>
        </w:rPr>
      </w:pPr>
      <w:r>
        <w:rPr>
          <w:sz w:val="20"/>
        </w:rPr>
        <w:t>Ronnie C. Chan</w:t>
      </w:r>
    </w:p>
    <w:p>
      <w:pPr>
        <w:pStyle w:val="Normal"/>
        <w:tabs>
          <w:tab w:val="left" w:pos="540" w:leader="none"/>
          <w:tab w:val="left" w:pos="720" w:leader="none"/>
        </w:tabs>
        <w:rPr>
          <w:sz w:val="20"/>
        </w:rPr>
      </w:pPr>
      <w:r>
        <w:rPr>
          <w:sz w:val="20"/>
        </w:rPr>
        <w:t>John H. Duncan</w:t>
      </w:r>
    </w:p>
    <w:p>
      <w:pPr>
        <w:pStyle w:val="Normal"/>
        <w:tabs>
          <w:tab w:val="left" w:pos="540" w:leader="none"/>
          <w:tab w:val="left" w:pos="720" w:leader="none"/>
        </w:tabs>
        <w:rPr>
          <w:sz w:val="20"/>
        </w:rPr>
      </w:pPr>
      <w:r>
        <w:rPr>
          <w:sz w:val="20"/>
        </w:rPr>
        <w:t>Paulo V. Ferraz Pereira</w:t>
      </w:r>
    </w:p>
    <w:p>
      <w:pPr>
        <w:pStyle w:val="Normal"/>
        <w:tabs>
          <w:tab w:val="left" w:pos="540" w:leader="none"/>
          <w:tab w:val="left" w:pos="720" w:leader="none"/>
        </w:tabs>
        <w:rPr>
          <w:sz w:val="20"/>
        </w:rPr>
      </w:pPr>
      <w:r>
        <w:rPr>
          <w:sz w:val="20"/>
        </w:rPr>
        <w:t>Wendy L. Gramm</w:t>
      </w:r>
    </w:p>
    <w:p>
      <w:pPr>
        <w:pStyle w:val="Normal"/>
        <w:tabs>
          <w:tab w:val="left" w:pos="540" w:leader="none"/>
          <w:tab w:val="left" w:pos="720" w:leader="none"/>
        </w:tabs>
        <w:rPr>
          <w:sz w:val="20"/>
        </w:rPr>
      </w:pPr>
      <w:r>
        <w:rPr>
          <w:sz w:val="20"/>
        </w:rPr>
        <w:t>Robert K. Jaedicke</w:t>
      </w:r>
    </w:p>
    <w:p>
      <w:pPr>
        <w:pStyle w:val="Normal"/>
        <w:tabs>
          <w:tab w:val="left" w:pos="540" w:leader="none"/>
          <w:tab w:val="left" w:pos="720" w:leader="none"/>
        </w:tabs>
        <w:rPr>
          <w:sz w:val="20"/>
        </w:rPr>
      </w:pPr>
      <w:r>
        <w:rPr>
          <w:sz w:val="20"/>
        </w:rPr>
        <w:t>Charles A. LeMaistre</w:t>
      </w:r>
    </w:p>
    <w:p>
      <w:pPr>
        <w:pStyle w:val="Normal"/>
        <w:tabs>
          <w:tab w:val="left" w:pos="540" w:leader="none"/>
          <w:tab w:val="left" w:pos="720" w:leader="none"/>
        </w:tabs>
        <w:rPr>
          <w:sz w:val="20"/>
        </w:rPr>
      </w:pPr>
      <w:r>
        <w:rPr>
          <w:sz w:val="20"/>
        </w:rPr>
        <w:t>John Mendelsohn</w:t>
      </w:r>
    </w:p>
    <w:p>
      <w:pPr>
        <w:pStyle w:val="Normal"/>
        <w:tabs>
          <w:tab w:val="left" w:pos="540" w:leader="none"/>
          <w:tab w:val="left" w:pos="720" w:leader="none"/>
        </w:tabs>
        <w:rPr>
          <w:sz w:val="20"/>
        </w:rPr>
      </w:pPr>
      <w:r>
        <w:rPr>
          <w:sz w:val="20"/>
        </w:rPr>
        <w:t>Frank Savage</w:t>
      </w:r>
    </w:p>
    <w:p>
      <w:pPr>
        <w:pStyle w:val="Normal"/>
        <w:tabs>
          <w:tab w:val="left" w:pos="540" w:leader="none"/>
          <w:tab w:val="left" w:pos="720" w:leader="none"/>
        </w:tabs>
        <w:rPr>
          <w:sz w:val="20"/>
        </w:rPr>
      </w:pPr>
      <w:r>
        <w:rPr>
          <w:sz w:val="20"/>
        </w:rPr>
        <w:t>The Rt. Hon. Lord Wakeham</w:t>
      </w:r>
    </w:p>
    <w:p>
      <w:pPr>
        <w:pStyle w:val="Normal"/>
        <w:tabs>
          <w:tab w:val="left" w:pos="540" w:leader="none"/>
          <w:tab w:val="left" w:pos="720" w:leader="none"/>
        </w:tabs>
        <w:rPr>
          <w:sz w:val="20"/>
        </w:rPr>
      </w:pPr>
      <w:r>
        <w:rPr>
          <w:sz w:val="20"/>
        </w:rPr>
        <w:t>Herbert S. Winokur, Jr.</w:t>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u w:val="single"/>
        </w:rPr>
        <w:t>Sent Via E-Mail:</w:t>
      </w:r>
    </w:p>
    <w:p>
      <w:pPr>
        <w:pStyle w:val="Normal"/>
        <w:tabs>
          <w:tab w:val="left" w:pos="540" w:leader="none"/>
          <w:tab w:val="left" w:pos="720" w:leader="none"/>
        </w:tabs>
        <w:rPr>
          <w:rFonts w:cs="Arial"/>
          <w:sz w:val="20"/>
        </w:rPr>
      </w:pPr>
      <w:r>
        <w:rPr>
          <w:rFonts w:cs="Arial"/>
          <w:sz w:val="20"/>
        </w:rPr>
      </w:r>
    </w:p>
    <w:p>
      <w:pPr>
        <w:pStyle w:val="Normal"/>
        <w:rPr>
          <w:rFonts w:cs="Arial"/>
          <w:color w:val="000000"/>
          <w:sz w:val="18"/>
        </w:rPr>
      </w:pPr>
      <w:r>
        <w:rPr>
          <w:rFonts w:cs="Arial"/>
          <w:color w:val="000000"/>
          <w:sz w:val="18"/>
        </w:rPr>
        <w:t>Kenneth L Lay</w:t>
      </w:r>
    </w:p>
    <w:p>
      <w:pPr>
        <w:pStyle w:val="Normal"/>
        <w:rPr>
          <w:rFonts w:cs="Arial"/>
          <w:color w:val="000000"/>
          <w:sz w:val="18"/>
        </w:rPr>
      </w:pPr>
      <w:r>
        <w:rPr>
          <w:rFonts w:cs="Arial"/>
          <w:color w:val="000000"/>
          <w:sz w:val="18"/>
        </w:rPr>
        <w:t>Jeffrey K Skilling</w:t>
      </w:r>
    </w:p>
    <w:p>
      <w:pPr>
        <w:pStyle w:val="Normal"/>
        <w:rPr>
          <w:rFonts w:cs="Arial"/>
          <w:color w:val="000000"/>
          <w:sz w:val="18"/>
        </w:rPr>
      </w:pPr>
      <w:r>
        <w:rPr>
          <w:rFonts w:cs="Arial"/>
          <w:color w:val="000000"/>
          <w:sz w:val="18"/>
        </w:rPr>
        <w:t>Richard B. Buy</w:t>
      </w:r>
    </w:p>
    <w:p>
      <w:pPr>
        <w:pStyle w:val="Normal"/>
        <w:rPr>
          <w:rFonts w:cs="Arial"/>
          <w:color w:val="000000"/>
          <w:sz w:val="18"/>
        </w:rPr>
      </w:pPr>
      <w:r>
        <w:rPr>
          <w:rFonts w:cs="Arial"/>
          <w:color w:val="000000"/>
          <w:sz w:val="18"/>
        </w:rPr>
        <w:t>Richard A. Causey</w:t>
      </w:r>
    </w:p>
    <w:p>
      <w:pPr>
        <w:pStyle w:val="Normal"/>
        <w:rPr>
          <w:rFonts w:cs="Arial"/>
          <w:color w:val="000000"/>
          <w:sz w:val="18"/>
        </w:rPr>
      </w:pPr>
      <w:r>
        <w:rPr>
          <w:rFonts w:cs="Arial"/>
          <w:color w:val="000000"/>
          <w:sz w:val="18"/>
        </w:rPr>
        <w:t>David W. Delainey</w:t>
      </w:r>
    </w:p>
    <w:p>
      <w:pPr>
        <w:pStyle w:val="Normal"/>
        <w:rPr>
          <w:rFonts w:cs="Arial"/>
          <w:color w:val="000000"/>
          <w:sz w:val="18"/>
        </w:rPr>
      </w:pPr>
      <w:r>
        <w:rPr>
          <w:rFonts w:cs="Arial"/>
          <w:color w:val="000000"/>
          <w:sz w:val="18"/>
        </w:rPr>
        <w:t>James V. Derrick, Jr.</w:t>
      </w:r>
    </w:p>
    <w:p>
      <w:pPr>
        <w:pStyle w:val="Normal"/>
        <w:rPr>
          <w:rFonts w:cs="Arial"/>
          <w:color w:val="000000"/>
          <w:sz w:val="18"/>
        </w:rPr>
      </w:pPr>
      <w:r>
        <w:rPr>
          <w:rFonts w:cs="Arial"/>
          <w:color w:val="000000"/>
          <w:sz w:val="18"/>
        </w:rPr>
        <w:t>Andrew S Fastow</w:t>
      </w:r>
    </w:p>
    <w:p>
      <w:pPr>
        <w:pStyle w:val="Normal"/>
        <w:rPr>
          <w:rFonts w:cs="Arial"/>
          <w:color w:val="000000"/>
          <w:sz w:val="18"/>
        </w:rPr>
      </w:pPr>
      <w:r>
        <w:rPr>
          <w:rFonts w:cs="Arial"/>
          <w:color w:val="000000"/>
          <w:sz w:val="18"/>
        </w:rPr>
        <w:t>Mark A. Frevert</w:t>
      </w:r>
    </w:p>
    <w:p>
      <w:pPr>
        <w:pStyle w:val="Normal"/>
        <w:rPr>
          <w:rFonts w:cs="Arial"/>
          <w:color w:val="000000"/>
          <w:sz w:val="18"/>
        </w:rPr>
      </w:pPr>
      <w:r>
        <w:rPr>
          <w:rFonts w:cs="Arial"/>
          <w:color w:val="000000"/>
          <w:sz w:val="18"/>
        </w:rPr>
        <w:t>Kevin P. Hannon</w:t>
      </w:r>
    </w:p>
    <w:p>
      <w:pPr>
        <w:pStyle w:val="Normal"/>
        <w:rPr>
          <w:rFonts w:cs="Arial"/>
          <w:color w:val="000000"/>
          <w:sz w:val="18"/>
        </w:rPr>
      </w:pPr>
      <w:r>
        <w:rPr>
          <w:rFonts w:cs="Arial"/>
          <w:color w:val="000000"/>
          <w:sz w:val="18"/>
        </w:rPr>
        <w:t>Stanley C. Horton</w:t>
      </w:r>
    </w:p>
    <w:p>
      <w:pPr>
        <w:pStyle w:val="Normal"/>
        <w:rPr>
          <w:rFonts w:cs="Arial"/>
          <w:color w:val="000000"/>
          <w:sz w:val="18"/>
        </w:rPr>
      </w:pPr>
      <w:r>
        <w:rPr>
          <w:rFonts w:cs="Arial"/>
          <w:color w:val="000000"/>
          <w:sz w:val="18"/>
        </w:rPr>
        <w:t>Steven J. Kean</w:t>
      </w:r>
    </w:p>
    <w:p>
      <w:pPr>
        <w:pStyle w:val="Normal"/>
        <w:rPr>
          <w:rFonts w:cs="Arial"/>
          <w:color w:val="000000"/>
          <w:sz w:val="18"/>
        </w:rPr>
      </w:pPr>
      <w:r>
        <w:rPr>
          <w:rFonts w:cs="Arial"/>
          <w:color w:val="000000"/>
          <w:sz w:val="18"/>
        </w:rPr>
        <w:t>Mark E. Koenig</w:t>
      </w:r>
    </w:p>
    <w:p>
      <w:pPr>
        <w:pStyle w:val="Normal"/>
        <w:rPr>
          <w:rFonts w:cs="Arial"/>
          <w:color w:val="000000"/>
          <w:sz w:val="18"/>
        </w:rPr>
      </w:pPr>
      <w:r>
        <w:rPr>
          <w:rFonts w:cs="Arial"/>
          <w:color w:val="000000"/>
          <w:sz w:val="18"/>
        </w:rPr>
        <w:t>J. Mark Metts</w:t>
      </w:r>
    </w:p>
    <w:p>
      <w:pPr>
        <w:pStyle w:val="Normal"/>
        <w:rPr>
          <w:rFonts w:cs="Arial"/>
          <w:color w:val="000000"/>
          <w:sz w:val="18"/>
        </w:rPr>
      </w:pPr>
      <w:r>
        <w:rPr>
          <w:rFonts w:cs="Arial"/>
          <w:color w:val="000000"/>
          <w:sz w:val="18"/>
        </w:rPr>
        <w:t>Kenneth D. Rice</w:t>
      </w:r>
    </w:p>
    <w:p>
      <w:pPr>
        <w:pStyle w:val="Normal"/>
        <w:rPr>
          <w:rFonts w:cs="Arial"/>
          <w:color w:val="000000"/>
          <w:sz w:val="18"/>
        </w:rPr>
      </w:pPr>
      <w:r>
        <w:rPr>
          <w:rFonts w:cs="Arial"/>
          <w:color w:val="000000"/>
          <w:sz w:val="18"/>
        </w:rPr>
        <w:t>Lou L. Pai</w:t>
      </w:r>
    </w:p>
    <w:p>
      <w:pPr>
        <w:pStyle w:val="Normal"/>
        <w:rPr>
          <w:rFonts w:cs="Arial"/>
          <w:color w:val="000000"/>
          <w:sz w:val="18"/>
        </w:rPr>
      </w:pPr>
      <w:r>
        <w:rPr>
          <w:rFonts w:cs="Arial"/>
          <w:color w:val="000000"/>
          <w:sz w:val="18"/>
        </w:rPr>
        <w:t>John R. Sherriff</w:t>
      </w:r>
    </w:p>
    <w:p>
      <w:pPr>
        <w:pStyle w:val="Normal"/>
        <w:rPr>
          <w:rFonts w:cs="Arial"/>
          <w:color w:val="000000"/>
          <w:sz w:val="18"/>
        </w:rPr>
      </w:pPr>
      <w:r>
        <w:rPr>
          <w:rFonts w:cs="Arial"/>
          <w:color w:val="000000"/>
          <w:sz w:val="18"/>
        </w:rPr>
        <w:t>Greg L. Whalley</w:t>
      </w:r>
    </w:p>
    <w:p>
      <w:pPr>
        <w:pStyle w:val="Normal"/>
        <w:tabs>
          <w:tab w:val="left" w:pos="540" w:leader="none"/>
          <w:tab w:val="left" w:pos="720" w:leader="none"/>
        </w:tabs>
        <w:rPr>
          <w:rFonts w:cs="Arial"/>
          <w:color w:val="000000"/>
          <w:sz w:val="18"/>
        </w:rPr>
      </w:pPr>
      <w:r>
        <w:rPr>
          <w:rFonts w:cs="Arial"/>
          <w:color w:val="000000"/>
          <w:sz w:val="18"/>
        </w:rPr>
      </w:r>
    </w:p>
    <w:sectPr>
      <w:headerReference w:type="default" r:id="rId3"/>
      <w:headerReference w:type="first" r:id="rId4"/>
      <w:footerReference w:type="default" r:id="rId5"/>
      <w:footerReference w:type="first" r:id="rId6"/>
      <w:type w:val="nextPage"/>
      <w:pgSz w:w="12240" w:h="15840"/>
      <w:pgMar w:left="1440" w:right="1296"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4"/>
      </w:rPr>
    </w:pPr>
    <w:r>
      <w:rPr>
        <w:b/>
        <w:sz w:val="14"/>
      </w:rPr>
    </w:r>
  </w:p>
  <w:p>
    <w:pPr>
      <w:pStyle w:val="Footer"/>
      <w:tabs>
        <w:tab w:val="clear" w:pos="4320"/>
        <w:tab w:val="clear" w:pos="8640"/>
        <w:tab w:val="left" w:pos="2700" w:leader="none"/>
        <w:tab w:val="left" w:pos="4950" w:leader="none"/>
        <w:tab w:val="center" w:pos="8190" w:leader="none"/>
        <w:tab w:val="left" w:pos="9090" w:leader="none"/>
      </w:tabs>
      <w:ind w:start="630" w:end="-666"/>
      <w:jc w:val="both"/>
      <w:rPr>
        <w:b/>
        <w:sz w:val="16"/>
      </w:rPr>
    </w:pPr>
    <w:r>
      <w:rPr>
        <w:b/>
        <w:sz w:val="16"/>
      </w:rPr>
      <w:t>Respect</w:t>
      <w:tab/>
      <w:t>Integrity</w:t>
      <w:tab/>
      <w:t xml:space="preserve">Communication </w:t>
      <w:tab/>
      <w:t>Excellence</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rPr>
        <w:sz w:val="12"/>
      </w:rPr>
    </w:pPr>
    <w:r>
      <w:rPr>
        <w:sz w:val="12"/>
      </w:rPr>
      <w:t>Form 000-469-E(7/92)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4"/>
      </w:rPr>
    </w:pPr>
    <w:r>
      <w:rPr>
        <w:b/>
        <w:sz w:val="14"/>
      </w:rPr>
    </w:r>
  </w:p>
  <w:p>
    <w:pPr>
      <w:pStyle w:val="Footer"/>
      <w:tabs>
        <w:tab w:val="clear" w:pos="4320"/>
        <w:tab w:val="clear" w:pos="8640"/>
        <w:tab w:val="left" w:pos="2700" w:leader="none"/>
        <w:tab w:val="left" w:pos="4950" w:leader="none"/>
        <w:tab w:val="center" w:pos="8190" w:leader="none"/>
        <w:tab w:val="left" w:pos="9090" w:leader="none"/>
      </w:tabs>
      <w:ind w:start="630" w:end="-666"/>
      <w:jc w:val="both"/>
      <w:rPr>
        <w:b/>
        <w:sz w:val="16"/>
      </w:rPr>
    </w:pPr>
    <w:r>
      <w:rPr>
        <w:b/>
        <w:sz w:val="16"/>
      </w:rPr>
      <w:t>Respect</w:t>
      <w:tab/>
      <w:t>Integrity</w:t>
      <w:tab/>
      <w:t xml:space="preserve">Communication </w:t>
      <w:tab/>
      <w:t>Excellence</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Roman"/>
      <w:lvlText w:val="(%1)"/>
      <w:lvlJc w:val="start"/>
      <w:pPr>
        <w:tabs>
          <w:tab w:val="num" w:pos="1440"/>
        </w:tabs>
        <w:ind w:start="1440" w:hanging="14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left" w:pos="-1440" w:leader="none"/>
        <w:tab w:val="left" w:pos="-72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54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1999-06-21T13:53:00Z</dcterms:created>
  <dc:creator>Chris Smith</dc:creator>
  <dc:description/>
  <dc:language>en-CA</dc:language>
  <cp:lastModifiedBy>kjohnso</cp:lastModifiedBy>
  <cp:lastPrinted>2001-03-21T09:14:00Z</cp:lastPrinted>
  <dcterms:modified xsi:type="dcterms:W3CDTF">2001-05-16T16:39:00Z</dcterms:modified>
  <cp:revision>60</cp:revision>
  <dc:subject>The Subject of the Memo</dc:subject>
  <dc:title>Better, Faster, Simpler Memo </dc:title>
</cp:coreProperties>
</file>