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Credit derivatives briefing </w:t>
      </w:r>
    </w:p>
    <w:p>
      <w:pPr>
        <w:pStyle w:val="Normal"/>
        <w:rPr>
          <w:color w:val="000000"/>
          <w:lang w:val="en-CA" w:eastAsia="en-US"/>
        </w:rPr>
      </w:pPr>
      <w:r>
        <w:rPr>
          <w:color w:val="000000"/>
          <w:lang w:val="en-CA" w:eastAsia="en-US"/>
        </w:rPr>
      </w:r>
    </w:p>
    <w:p>
      <w:pPr>
        <w:pStyle w:val="Normal"/>
        <w:rPr>
          <w:lang w:val="en-CA" w:eastAsia="en-US"/>
        </w:rPr>
      </w:pPr>
      <w:r>
        <w:rPr>
          <w:lang w:val="en-CA" w:eastAsia="en-US"/>
        </w:rPr>
        <w:t xml:space="preserve">Although the early development of credit derivatives may be traced to the early 1990’s, the credit derivatives market has grown most rapidly over the past three years. The market growth in many ways is analogous to the interest rate derivatives. However the rate of evolution in the credit derivatives market is much greater with most major global players now having a credit derivative capability. The drivers of this growth include: </w:t>
      </w:r>
    </w:p>
    <w:p>
      <w:pPr>
        <w:pStyle w:val="Footer"/>
        <w:keepLines w:val="false"/>
        <w:jc w:val="start"/>
        <w:rPr>
          <w:lang w:val="en-CA" w:eastAsia="en-US"/>
        </w:rPr>
      </w:pPr>
      <w:r>
        <w:rPr>
          <w:lang w:val="en-CA" w:eastAsia="en-US"/>
        </w:rPr>
      </w:r>
    </w:p>
    <w:p>
      <w:pPr>
        <w:pStyle w:val="Footer"/>
        <w:keepLines w:val="false"/>
        <w:numPr>
          <w:ilvl w:val="0"/>
          <w:numId w:val="2"/>
        </w:numPr>
        <w:jc w:val="start"/>
        <w:rPr/>
      </w:pPr>
      <w:r>
        <w:rPr/>
        <w:t>There have been major opportunities for banks to unlock the returns from debt portfolios and make these returns available to investors in a tradable form. Until the introduction of credit derivatives there was no effective mechanism to transfer these types of returns to investors. The credit derivative is designed to transfer credit risk and an associated return, from a bank’s debt portfolio to an investor, without the bank actually selling the asset.</w:t>
      </w:r>
    </w:p>
    <w:p>
      <w:pPr>
        <w:pStyle w:val="Footer"/>
        <w:keepLines w:val="false"/>
        <w:numPr>
          <w:ilvl w:val="0"/>
          <w:numId w:val="2"/>
        </w:numPr>
        <w:jc w:val="start"/>
        <w:rPr/>
      </w:pPr>
      <w:r>
        <w:rPr/>
        <w:t>Credit derivatives provided credit risk managers with a flexible and cost effective mechanism to separate and transfer credit risk from the underlying asset. This enables a bank to more effectively manage its credit portfolio, for instance by adjusting concentrations in credit risks, and specifically tailoring its credit risk appetite. By actively managing the credit risk credit risk mangers can improve the risk-adjusted return on the banks assets and ultimately increase shareholder value. The development of the concept of active credit risk management has lead to banks creating dedicated portfolio management functions.</w:t>
      </w:r>
    </w:p>
    <w:p>
      <w:pPr>
        <w:pStyle w:val="Footer"/>
        <w:keepLines w:val="false"/>
        <w:numPr>
          <w:ilvl w:val="0"/>
          <w:numId w:val="2"/>
        </w:numPr>
        <w:jc w:val="start"/>
        <w:rPr/>
      </w:pPr>
      <w:r>
        <w:rPr/>
        <w:t xml:space="preserve">Trading desks are normally allocated regulatory capital limits and these are often used as a proxy for economic capital. Therefore in order to maximise the desks return on capital there is a need to minimise the regulatory capital charge associated with each transaction. By having a capability to trade credit risk, a trading desk is able to actively manage its credit portfolio in order to minimise regulatory capital. This will ultimately assist in maximising the bank’s overall return on economic capital. </w:t>
      </w:r>
    </w:p>
    <w:p>
      <w:pPr>
        <w:pStyle w:val="Footer"/>
        <w:keepLines w:val="false"/>
        <w:numPr>
          <w:ilvl w:val="0"/>
          <w:numId w:val="2"/>
        </w:numPr>
        <w:jc w:val="start"/>
        <w:rPr/>
      </w:pPr>
      <w:r>
        <w:rPr/>
        <w:t xml:space="preserve">Investor demand for equivalent returns to replace maturing fixed rate debt instruments has lead to an increase in structured credit products, which are one of the few products that can yield the required returns. Fixed rate assets are no longer yielding the required returns in the current market conditions. </w:t>
      </w:r>
    </w:p>
    <w:p>
      <w:pPr>
        <w:pStyle w:val="Normal"/>
        <w:numPr>
          <w:ilvl w:val="0"/>
          <w:numId w:val="2"/>
        </w:numPr>
        <w:rPr/>
      </w:pPr>
      <w:r>
        <w:rPr/>
        <w:t>There is also an increased general awareness and understanding of credit, helped by specialist credit investment companies that specialise in leveraged credit returns, which increases the liquidity and transparency of the market.</w:t>
      </w:r>
    </w:p>
    <w:p>
      <w:pPr>
        <w:pStyle w:val="Normal"/>
        <w:rPr/>
      </w:pPr>
      <w:r>
        <w:rPr/>
      </w:r>
    </w:p>
    <w:p>
      <w:pPr>
        <w:pStyle w:val="Normal"/>
        <w:rPr>
          <w:lang w:val="en-CA" w:eastAsia="en-US"/>
        </w:rPr>
      </w:pPr>
      <w:r>
        <w:rPr>
          <w:lang w:val="en-CA" w:eastAsia="en-US"/>
        </w:rPr>
        <w:t xml:space="preserve">These factors are causing banking to radically rethink their current business model. Global banks are developping credit trading strategies and aligning their infrastructure and business models to support these new startegies. </w:t>
      </w:r>
    </w:p>
    <w:p>
      <w:pPr>
        <w:pStyle w:val="Normal"/>
        <w:rPr>
          <w:lang w:val="en-CA" w:eastAsia="en-US"/>
        </w:rPr>
      </w:pPr>
      <w:r>
        <w:rPr>
          <w:lang w:val="en-CA" w:eastAsia="en-US"/>
        </w:rPr>
      </w:r>
    </w:p>
    <w:p>
      <w:pPr>
        <w:pStyle w:val="Normal"/>
        <w:rPr>
          <w:lang w:val="en-CA" w:eastAsia="en-US"/>
        </w:rPr>
      </w:pPr>
      <w:r>
        <w:rPr>
          <w:lang w:val="en-CA" w:eastAsia="en-US"/>
        </w:rPr>
        <w:t xml:space="preserve">This seminar aims to explain these points in more detail as well as helping the audience to understand the mechanics of the credit derivative. The seminar will be split into two parts.  Part 1 will explain the basic nmechanics and basic building blocks of the credit derivative, the global regulatory environment and the infrastructure needed to build a credit trading business. Part 2 of the seminar will focus on documentation surrounding these products.   </w:t>
      </w:r>
    </w:p>
    <w:p>
      <w:pPr>
        <w:pStyle w:val="Normal"/>
        <w:rPr>
          <w:b/>
          <w:sz w:val="28"/>
          <w:lang w:val="en-CA" w:eastAsia="en-US"/>
        </w:rPr>
      </w:pPr>
      <w:r>
        <w:rPr>
          <w:b/>
          <w:sz w:val="28"/>
          <w:lang w:val="en-CA" w:eastAsia="en-US"/>
        </w:rPr>
      </w:r>
    </w:p>
    <w:p>
      <w:pPr>
        <w:pStyle w:val="Normal"/>
        <w:rPr>
          <w:b/>
          <w:sz w:val="28"/>
          <w:lang w:val="en-CA" w:eastAsia="en-US"/>
        </w:rPr>
      </w:pPr>
      <w:r>
        <w:rPr>
          <w:b/>
          <w:sz w:val="28"/>
          <w:lang w:val="en-CA" w:eastAsia="en-US"/>
        </w:rPr>
        <w:t>The Audience</w:t>
      </w:r>
    </w:p>
    <w:p>
      <w:pPr>
        <w:pStyle w:val="Normal"/>
        <w:rPr>
          <w:b/>
          <w:sz w:val="28"/>
          <w:lang w:val="en-CA" w:eastAsia="en-US"/>
        </w:rPr>
      </w:pPr>
      <w:r>
        <w:rPr>
          <w:b/>
          <w:sz w:val="28"/>
          <w:lang w:val="en-CA" w:eastAsia="en-US"/>
        </w:rPr>
      </w:r>
    </w:p>
    <w:p>
      <w:pPr>
        <w:pStyle w:val="Normal"/>
        <w:rPr>
          <w:lang w:val="en-CA" w:eastAsia="en-US"/>
        </w:rPr>
      </w:pPr>
      <w:r>
        <w:rPr>
          <w:lang w:val="en-CA" w:eastAsia="en-US"/>
        </w:rPr>
        <w:t>The programme is likely to be of particular value to senior managers from the following departments :</w:t>
      </w:r>
    </w:p>
    <w:p>
      <w:pPr>
        <w:pStyle w:val="Normal"/>
        <w:rPr>
          <w:lang w:val="en-CA" w:eastAsia="en-US"/>
        </w:rPr>
      </w:pPr>
      <w:r>
        <w:rPr>
          <w:lang w:val="en-CA" w:eastAsia="en-US"/>
        </w:rPr>
      </w:r>
    </w:p>
    <w:p>
      <w:pPr>
        <w:pStyle w:val="Normal"/>
        <w:numPr>
          <w:ilvl w:val="0"/>
          <w:numId w:val="5"/>
        </w:numPr>
        <w:rPr>
          <w:lang w:val="en-CA" w:eastAsia="en-US"/>
        </w:rPr>
      </w:pPr>
      <w:r>
        <w:rPr>
          <w:lang w:val="en-CA" w:eastAsia="en-US"/>
        </w:rPr>
        <w:t>Business planning and strategy</w:t>
      </w:r>
    </w:p>
    <w:p>
      <w:pPr>
        <w:pStyle w:val="Normal"/>
        <w:numPr>
          <w:ilvl w:val="0"/>
          <w:numId w:val="5"/>
        </w:numPr>
        <w:rPr>
          <w:lang w:val="en-CA" w:eastAsia="en-US"/>
        </w:rPr>
      </w:pPr>
      <w:r>
        <w:rPr>
          <w:lang w:val="en-CA" w:eastAsia="en-US"/>
        </w:rPr>
        <w:t>Legal</w:t>
      </w:r>
    </w:p>
    <w:p>
      <w:pPr>
        <w:pStyle w:val="Normal"/>
        <w:numPr>
          <w:ilvl w:val="0"/>
          <w:numId w:val="5"/>
        </w:numPr>
        <w:rPr>
          <w:lang w:val="en-CA" w:eastAsia="en-US"/>
        </w:rPr>
      </w:pPr>
      <w:r>
        <w:rPr>
          <w:lang w:val="en-CA" w:eastAsia="en-US"/>
        </w:rPr>
        <w:t>Credit risk management</w:t>
      </w:r>
    </w:p>
    <w:p>
      <w:pPr>
        <w:pStyle w:val="Normal"/>
        <w:numPr>
          <w:ilvl w:val="0"/>
          <w:numId w:val="5"/>
        </w:numPr>
        <w:rPr>
          <w:lang w:val="en-CA" w:eastAsia="en-US"/>
        </w:rPr>
      </w:pPr>
      <w:r>
        <w:rPr>
          <w:lang w:val="en-CA" w:eastAsia="en-US"/>
        </w:rPr>
        <w:t>Risk management</w:t>
      </w:r>
    </w:p>
    <w:p>
      <w:pPr>
        <w:pStyle w:val="Normal"/>
        <w:numPr>
          <w:ilvl w:val="0"/>
          <w:numId w:val="5"/>
        </w:numPr>
        <w:rPr>
          <w:lang w:val="en-CA" w:eastAsia="en-US"/>
        </w:rPr>
      </w:pPr>
      <w:r>
        <w:rPr>
          <w:lang w:val="en-CA" w:eastAsia="en-US"/>
        </w:rPr>
        <w:t>Derivatives</w:t>
      </w:r>
    </w:p>
    <w:p>
      <w:pPr>
        <w:pStyle w:val="Normal"/>
        <w:numPr>
          <w:ilvl w:val="0"/>
          <w:numId w:val="5"/>
        </w:numPr>
        <w:rPr>
          <w:lang w:val="en-CA" w:eastAsia="en-US"/>
        </w:rPr>
      </w:pPr>
      <w:r>
        <w:rPr>
          <w:lang w:val="en-CA" w:eastAsia="en-US"/>
        </w:rPr>
        <w:t>Debt markets</w:t>
      </w:r>
    </w:p>
    <w:p>
      <w:pPr>
        <w:pStyle w:val="Normal"/>
        <w:numPr>
          <w:ilvl w:val="0"/>
          <w:numId w:val="5"/>
        </w:numPr>
        <w:rPr/>
      </w:pPr>
      <w:r>
        <w:rPr>
          <w:lang w:val="en-CA" w:eastAsia="en-US"/>
        </w:rPr>
        <w:t xml:space="preserve">Treasury management </w:t>
      </w:r>
    </w:p>
    <w:p>
      <w:pPr>
        <w:pStyle w:val="Normal"/>
        <w:rPr>
          <w:lang w:val="en-CA" w:eastAsia="en-US"/>
        </w:rPr>
      </w:pPr>
      <w:r>
        <w:rPr>
          <w:lang w:val="en-CA" w:eastAsia="en-US"/>
        </w:rPr>
      </w:r>
    </w:p>
    <w:p>
      <w:pPr>
        <w:pStyle w:val="Normal"/>
        <w:rPr>
          <w:b/>
          <w:sz w:val="28"/>
          <w:lang w:val="en-CA" w:eastAsia="en-US"/>
        </w:rPr>
      </w:pPr>
      <w:r>
        <w:rPr>
          <w:b/>
          <w:sz w:val="28"/>
          <w:lang w:val="en-CA" w:eastAsia="en-US"/>
        </w:rPr>
        <w:t xml:space="preserve">The seminar outline </w:t>
      </w:r>
    </w:p>
    <w:p>
      <w:pPr>
        <w:pStyle w:val="Normal"/>
        <w:rPr>
          <w:b/>
          <w:sz w:val="28"/>
          <w:lang w:val="en-CA" w:eastAsia="en-US"/>
        </w:rPr>
      </w:pPr>
      <w:r>
        <w:rPr>
          <w:b/>
          <w:sz w:val="28"/>
          <w:lang w:val="en-CA" w:eastAsia="en-US"/>
        </w:rPr>
      </w:r>
    </w:p>
    <w:tbl>
      <w:tblPr>
        <w:tblW w:w="7758" w:type="dxa"/>
        <w:jc w:val="start"/>
        <w:tblInd w:w="0" w:type="dxa"/>
        <w:tblLayout w:type="fixed"/>
        <w:tblCellMar>
          <w:top w:w="0" w:type="dxa"/>
          <w:start w:w="108" w:type="dxa"/>
          <w:bottom w:w="0" w:type="dxa"/>
          <w:end w:w="108" w:type="dxa"/>
        </w:tblCellMar>
      </w:tblPr>
      <w:tblGrid>
        <w:gridCol w:w="1818"/>
        <w:gridCol w:w="5940"/>
      </w:tblGrid>
      <w:tr>
        <w:trPr/>
        <w:tc>
          <w:tcPr>
            <w:tcW w:w="7758" w:type="dxa"/>
            <w:gridSpan w:val="2"/>
            <w:tcBorders>
              <w:top w:val="single" w:sz="12" w:space="0" w:color="008000"/>
              <w:bottom w:val="single" w:sz="6" w:space="0" w:color="008000"/>
            </w:tcBorders>
          </w:tcPr>
          <w:p>
            <w:pPr>
              <w:pStyle w:val="Normal"/>
              <w:rPr>
                <w:sz w:val="28"/>
                <w:lang w:val="en-US" w:eastAsia="en-US"/>
              </w:rPr>
            </w:pPr>
            <w:r>
              <w:rPr>
                <w:sz w:val="28"/>
                <w:lang w:val="en-US" w:eastAsia="en-US"/>
              </w:rPr>
              <w:t>PART 1 - An introduction to the credit derivative market</w:t>
            </w:r>
          </w:p>
        </w:tc>
      </w:tr>
      <w:tr>
        <w:trPr/>
        <w:tc>
          <w:tcPr>
            <w:tcW w:w="1818" w:type="dxa"/>
            <w:tcBorders/>
          </w:tcPr>
          <w:p>
            <w:pPr>
              <w:pStyle w:val="Normal"/>
              <w:rPr>
                <w:lang w:val="en-US" w:eastAsia="en-US"/>
              </w:rPr>
            </w:pPr>
            <w:r>
              <w:rPr>
                <w:lang w:val="en-US" w:eastAsia="en-US"/>
              </w:rPr>
              <w:t>8.30 am</w:t>
            </w:r>
          </w:p>
        </w:tc>
        <w:tc>
          <w:tcPr>
            <w:tcW w:w="5940" w:type="dxa"/>
            <w:tcBorders/>
          </w:tcPr>
          <w:p>
            <w:pPr>
              <w:pStyle w:val="Normal"/>
              <w:rPr>
                <w:lang w:val="en-US" w:eastAsia="en-US"/>
              </w:rPr>
            </w:pPr>
            <w:r>
              <w:rPr>
                <w:lang w:val="en-US" w:eastAsia="en-US"/>
              </w:rPr>
              <w:t>Registration</w:t>
            </w:r>
          </w:p>
          <w:p>
            <w:pPr>
              <w:pStyle w:val="Normal"/>
              <w:rPr>
                <w:lang w:val="en-US" w:eastAsia="en-US"/>
              </w:rPr>
            </w:pPr>
            <w:r>
              <w:rPr>
                <w:lang w:val="en-US" w:eastAsia="en-US"/>
              </w:rPr>
            </w:r>
          </w:p>
        </w:tc>
      </w:tr>
      <w:tr>
        <w:trPr/>
        <w:tc>
          <w:tcPr>
            <w:tcW w:w="1818" w:type="dxa"/>
            <w:tcBorders/>
          </w:tcPr>
          <w:p>
            <w:pPr>
              <w:pStyle w:val="Normal"/>
              <w:rPr>
                <w:lang w:val="en-US" w:eastAsia="en-US"/>
              </w:rPr>
            </w:pPr>
            <w:r>
              <w:rPr>
                <w:lang w:val="en-US" w:eastAsia="en-US"/>
              </w:rPr>
              <w:t>8.40 am</w:t>
            </w:r>
          </w:p>
        </w:tc>
        <w:tc>
          <w:tcPr>
            <w:tcW w:w="5940" w:type="dxa"/>
            <w:tcBorders/>
          </w:tcPr>
          <w:p>
            <w:pPr>
              <w:pStyle w:val="Normal"/>
              <w:rPr>
                <w:lang w:val="en-US" w:eastAsia="en-US"/>
              </w:rPr>
            </w:pPr>
            <w:r>
              <w:rPr>
                <w:lang w:val="en-US" w:eastAsia="en-US"/>
              </w:rPr>
              <w:t>Welcome and Introduction</w:t>
            </w:r>
          </w:p>
          <w:p>
            <w:pPr>
              <w:pStyle w:val="Normal"/>
              <w:rPr>
                <w:lang w:val="en-US" w:eastAsia="en-US"/>
              </w:rPr>
            </w:pPr>
            <w:r>
              <w:rPr>
                <w:lang w:val="en-US" w:eastAsia="en-US"/>
              </w:rPr>
            </w:r>
          </w:p>
        </w:tc>
      </w:tr>
      <w:tr>
        <w:trPr/>
        <w:tc>
          <w:tcPr>
            <w:tcW w:w="1818" w:type="dxa"/>
            <w:tcBorders/>
          </w:tcPr>
          <w:p>
            <w:pPr>
              <w:pStyle w:val="Normal"/>
              <w:rPr>
                <w:lang w:val="en-US" w:eastAsia="en-US"/>
              </w:rPr>
            </w:pPr>
            <w:r>
              <w:rPr>
                <w:lang w:val="en-US" w:eastAsia="en-US"/>
              </w:rPr>
              <w:t>8.50 am</w:t>
            </w:r>
          </w:p>
          <w:p>
            <w:pPr>
              <w:pStyle w:val="Normal"/>
              <w:rPr>
                <w:lang w:val="en-US" w:eastAsia="en-US"/>
              </w:rPr>
            </w:pPr>
            <w:r>
              <w:rPr>
                <w:lang w:val="en-US" w:eastAsia="en-US"/>
              </w:rPr>
            </w:r>
          </w:p>
          <w:p>
            <w:pPr>
              <w:pStyle w:val="Normal"/>
              <w:rPr>
                <w:lang w:val="en-US" w:eastAsia="en-US"/>
              </w:rPr>
            </w:pPr>
            <w:r>
              <w:rPr>
                <w:lang w:val="en-US" w:eastAsia="en-US"/>
              </w:rPr>
            </w:r>
          </w:p>
        </w:tc>
        <w:tc>
          <w:tcPr>
            <w:tcW w:w="5940" w:type="dxa"/>
            <w:tcBorders/>
          </w:tcPr>
          <w:p>
            <w:pPr>
              <w:pStyle w:val="Normal"/>
              <w:rPr>
                <w:lang w:val="en-US" w:eastAsia="en-US"/>
              </w:rPr>
            </w:pPr>
            <w:r>
              <w:rPr>
                <w:lang w:val="en-US" w:eastAsia="en-US"/>
              </w:rPr>
              <w:t>The emergence of credit trading as a new business</w:t>
            </w:r>
          </w:p>
          <w:p>
            <w:pPr>
              <w:pStyle w:val="Normal"/>
              <w:numPr>
                <w:ilvl w:val="0"/>
                <w:numId w:val="4"/>
              </w:numPr>
              <w:rPr>
                <w:lang w:val="en-US" w:eastAsia="en-US"/>
              </w:rPr>
            </w:pPr>
            <w:r>
              <w:rPr>
                <w:lang w:val="en-US" w:eastAsia="en-US"/>
              </w:rPr>
              <w:t>What is credit trading</w:t>
            </w:r>
          </w:p>
          <w:p>
            <w:pPr>
              <w:pStyle w:val="Normal"/>
              <w:numPr>
                <w:ilvl w:val="0"/>
                <w:numId w:val="4"/>
              </w:numPr>
              <w:rPr>
                <w:lang w:val="en-US" w:eastAsia="en-US"/>
              </w:rPr>
            </w:pPr>
            <w:r>
              <w:rPr>
                <w:lang w:val="en-US" w:eastAsia="en-US"/>
              </w:rPr>
              <w:t>Why is it so important</w:t>
            </w:r>
          </w:p>
          <w:p>
            <w:pPr>
              <w:pStyle w:val="Normal"/>
              <w:numPr>
                <w:ilvl w:val="0"/>
                <w:numId w:val="4"/>
              </w:numPr>
              <w:rPr>
                <w:lang w:val="en-US" w:eastAsia="en-US"/>
              </w:rPr>
            </w:pPr>
            <w:r>
              <w:rPr>
                <w:lang w:val="en-US" w:eastAsia="en-US"/>
              </w:rPr>
              <w:t>History of the credit derivative market</w:t>
            </w:r>
          </w:p>
          <w:p>
            <w:pPr>
              <w:pStyle w:val="Normal"/>
              <w:numPr>
                <w:ilvl w:val="0"/>
                <w:numId w:val="4"/>
              </w:numPr>
              <w:rPr>
                <w:lang w:val="en-US" w:eastAsia="en-US"/>
              </w:rPr>
            </w:pPr>
            <w:r>
              <w:rPr>
                <w:lang w:val="en-US" w:eastAsia="en-US"/>
              </w:rPr>
              <w:t>The future</w:t>
            </w:r>
          </w:p>
          <w:p>
            <w:pPr>
              <w:pStyle w:val="Normal"/>
              <w:rPr>
                <w:lang w:val="en-US" w:eastAsia="en-US"/>
              </w:rPr>
            </w:pPr>
            <w:r>
              <w:rPr>
                <w:lang w:val="en-US" w:eastAsia="en-US"/>
              </w:rPr>
            </w:r>
          </w:p>
        </w:tc>
      </w:tr>
      <w:tr>
        <w:trPr/>
        <w:tc>
          <w:tcPr>
            <w:tcW w:w="1818" w:type="dxa"/>
            <w:tcBorders/>
          </w:tcPr>
          <w:p>
            <w:pPr>
              <w:pStyle w:val="Normal"/>
              <w:rPr>
                <w:lang w:val="en-US" w:eastAsia="en-US"/>
              </w:rPr>
            </w:pPr>
            <w:r>
              <w:rPr>
                <w:lang w:val="en-US" w:eastAsia="en-US"/>
              </w:rPr>
              <w:t>9.30 am</w:t>
            </w:r>
          </w:p>
        </w:tc>
        <w:tc>
          <w:tcPr>
            <w:tcW w:w="5940" w:type="dxa"/>
            <w:tcBorders/>
          </w:tcPr>
          <w:p>
            <w:pPr>
              <w:pStyle w:val="Heading1"/>
              <w:ind w:hanging="0" w:start="0"/>
              <w:rPr>
                <w:b w:val="false"/>
                <w:color w:val="auto"/>
              </w:rPr>
            </w:pPr>
            <w:r>
              <w:rPr>
                <w:b w:val="false"/>
                <w:color w:val="auto"/>
              </w:rPr>
              <w:t>Credit Derivatives in Emerging Markets : A Product Brief part 1</w:t>
            </w:r>
          </w:p>
          <w:p>
            <w:pPr>
              <w:pStyle w:val="Normal"/>
              <w:numPr>
                <w:ilvl w:val="0"/>
                <w:numId w:val="9"/>
              </w:numPr>
              <w:rPr>
                <w:lang w:val="en-US" w:eastAsia="en-US"/>
              </w:rPr>
            </w:pPr>
            <w:r>
              <w:rPr>
                <w:lang w:val="en-US" w:eastAsia="en-US"/>
              </w:rPr>
              <w:t xml:space="preserve">Structure, mechanics and applications of  credit default swap; </w:t>
            </w:r>
          </w:p>
          <w:p>
            <w:pPr>
              <w:pStyle w:val="Normal"/>
              <w:rPr>
                <w:lang w:val="en-US" w:eastAsia="en-US"/>
              </w:rPr>
            </w:pPr>
            <w:r>
              <w:rPr>
                <w:lang w:val="en-US" w:eastAsia="en-US"/>
              </w:rPr>
              <w:t>Documentation part 1</w:t>
            </w:r>
          </w:p>
          <w:p>
            <w:pPr>
              <w:pStyle w:val="Normal"/>
              <w:numPr>
                <w:ilvl w:val="0"/>
                <w:numId w:val="6"/>
              </w:numPr>
              <w:rPr>
                <w:lang w:val="en-US" w:eastAsia="en-US"/>
              </w:rPr>
            </w:pPr>
            <w:r>
              <w:rPr>
                <w:lang w:val="en-US" w:eastAsia="en-US"/>
              </w:rPr>
              <w:t>Guarantee insurance contracts or derivatives?</w:t>
            </w:r>
          </w:p>
          <w:p>
            <w:pPr>
              <w:pStyle w:val="Normal"/>
              <w:numPr>
                <w:ilvl w:val="0"/>
                <w:numId w:val="6"/>
              </w:numPr>
              <w:rPr>
                <w:lang w:val="en-US" w:eastAsia="en-US"/>
              </w:rPr>
            </w:pPr>
            <w:r>
              <w:rPr>
                <w:lang w:val="en-US" w:eastAsia="en-US"/>
              </w:rPr>
              <w:t>Introduction to the ISDA definitions guide</w:t>
            </w:r>
          </w:p>
          <w:p>
            <w:pPr>
              <w:pStyle w:val="Normal"/>
              <w:numPr>
                <w:ilvl w:val="0"/>
                <w:numId w:val="6"/>
              </w:numPr>
              <w:rPr>
                <w:lang w:val="en-US" w:eastAsia="en-US"/>
              </w:rPr>
            </w:pPr>
            <w:r>
              <w:rPr>
                <w:lang w:val="en-US" w:eastAsia="en-US"/>
              </w:rPr>
              <w:t xml:space="preserve">Credit event clauses </w:t>
            </w:r>
          </w:p>
          <w:p>
            <w:pPr>
              <w:pStyle w:val="Normal"/>
              <w:rPr>
                <w:lang w:val="en-US" w:eastAsia="en-US"/>
              </w:rPr>
            </w:pPr>
            <w:r>
              <w:rPr>
                <w:lang w:val="en-US" w:eastAsia="en-US"/>
              </w:rPr>
            </w:r>
          </w:p>
        </w:tc>
      </w:tr>
      <w:tr>
        <w:trPr/>
        <w:tc>
          <w:tcPr>
            <w:tcW w:w="1818" w:type="dxa"/>
            <w:tcBorders/>
          </w:tcPr>
          <w:p>
            <w:pPr>
              <w:pStyle w:val="Normal"/>
              <w:rPr>
                <w:lang w:val="en-US" w:eastAsia="en-US"/>
              </w:rPr>
            </w:pPr>
            <w:r>
              <w:rPr>
                <w:lang w:val="en-US" w:eastAsia="en-US"/>
              </w:rPr>
              <w:t>11.00 am</w:t>
            </w:r>
          </w:p>
        </w:tc>
        <w:tc>
          <w:tcPr>
            <w:tcW w:w="5940" w:type="dxa"/>
            <w:tcBorders/>
          </w:tcPr>
          <w:p>
            <w:pPr>
              <w:pStyle w:val="Normal"/>
              <w:rPr>
                <w:lang w:val="en-US" w:eastAsia="en-US"/>
              </w:rPr>
            </w:pPr>
            <w:r>
              <w:rPr>
                <w:lang w:val="en-US" w:eastAsia="en-US"/>
              </w:rPr>
              <w:t>COFFEE BREAK</w:t>
            </w:r>
          </w:p>
          <w:p>
            <w:pPr>
              <w:pStyle w:val="Normal"/>
              <w:rPr>
                <w:lang w:val="en-US" w:eastAsia="en-US"/>
              </w:rPr>
            </w:pPr>
            <w:r>
              <w:rPr>
                <w:lang w:val="en-US" w:eastAsia="en-US"/>
              </w:rPr>
            </w:r>
          </w:p>
        </w:tc>
      </w:tr>
      <w:tr>
        <w:trPr/>
        <w:tc>
          <w:tcPr>
            <w:tcW w:w="1818" w:type="dxa"/>
            <w:tcBorders/>
          </w:tcPr>
          <w:p>
            <w:pPr>
              <w:pStyle w:val="Normal"/>
              <w:rPr>
                <w:lang w:val="en-US" w:eastAsia="en-US"/>
              </w:rPr>
            </w:pPr>
            <w:r>
              <w:rPr>
                <w:lang w:val="en-US" w:eastAsia="en-US"/>
              </w:rPr>
              <w:t>11.20 am</w:t>
            </w:r>
          </w:p>
        </w:tc>
        <w:tc>
          <w:tcPr>
            <w:tcW w:w="5940" w:type="dxa"/>
            <w:tcBorders/>
          </w:tcPr>
          <w:p>
            <w:pPr>
              <w:pStyle w:val="Normal"/>
              <w:rPr>
                <w:lang w:val="en-US" w:eastAsia="en-US"/>
              </w:rPr>
            </w:pPr>
            <w:r>
              <w:rPr>
                <w:lang w:val="en-US" w:eastAsia="en-US"/>
              </w:rPr>
              <w:t>Documentation part 2</w:t>
            </w:r>
          </w:p>
          <w:p>
            <w:pPr>
              <w:pStyle w:val="Normal"/>
              <w:numPr>
                <w:ilvl w:val="0"/>
                <w:numId w:val="6"/>
              </w:numPr>
              <w:rPr>
                <w:lang w:val="en-US" w:eastAsia="en-US"/>
              </w:rPr>
            </w:pPr>
            <w:r>
              <w:rPr>
                <w:lang w:val="en-US" w:eastAsia="en-US"/>
              </w:rPr>
              <w:t>Current issues - restructuring, succession</w:t>
            </w:r>
          </w:p>
          <w:p>
            <w:pPr>
              <w:pStyle w:val="Normal"/>
              <w:numPr>
                <w:ilvl w:val="0"/>
                <w:numId w:val="6"/>
              </w:numPr>
              <w:rPr>
                <w:lang w:val="en-US" w:eastAsia="en-US"/>
              </w:rPr>
            </w:pPr>
            <w:r>
              <w:rPr>
                <w:lang w:val="en-US" w:eastAsia="en-US"/>
              </w:rPr>
              <w:t>Netting</w:t>
            </w:r>
          </w:p>
          <w:p>
            <w:pPr>
              <w:pStyle w:val="Normal"/>
              <w:numPr>
                <w:ilvl w:val="0"/>
                <w:numId w:val="6"/>
              </w:numPr>
              <w:rPr>
                <w:lang w:val="en-US" w:eastAsia="en-US"/>
              </w:rPr>
            </w:pPr>
            <w:r>
              <w:rPr>
                <w:lang w:val="en-US" w:eastAsia="en-US"/>
              </w:rPr>
              <w:t>Publicly available information</w:t>
            </w:r>
          </w:p>
          <w:p>
            <w:pPr>
              <w:pStyle w:val="Normal"/>
              <w:numPr>
                <w:ilvl w:val="0"/>
                <w:numId w:val="6"/>
              </w:numPr>
              <w:rPr>
                <w:lang w:val="en-US" w:eastAsia="en-US"/>
              </w:rPr>
            </w:pPr>
            <w:r>
              <w:rPr>
                <w:lang w:val="en-US" w:eastAsia="en-US"/>
              </w:rPr>
              <w:t>Physical and cash settlement</w:t>
            </w:r>
          </w:p>
          <w:p>
            <w:pPr>
              <w:pStyle w:val="Normal"/>
              <w:numPr>
                <w:ilvl w:val="0"/>
                <w:numId w:val="6"/>
              </w:numPr>
              <w:rPr>
                <w:lang w:val="en-US" w:eastAsia="en-US"/>
              </w:rPr>
            </w:pPr>
            <w:r>
              <w:rPr>
                <w:lang w:val="en-US" w:eastAsia="en-US"/>
              </w:rPr>
              <w:t>Defining deliverable obligation</w:t>
            </w:r>
          </w:p>
          <w:p>
            <w:pPr>
              <w:pStyle w:val="Normal"/>
              <w:rPr>
                <w:lang w:val="en-US" w:eastAsia="en-US"/>
              </w:rPr>
            </w:pPr>
            <w:r>
              <w:rPr>
                <w:lang w:val="en-US" w:eastAsia="en-US"/>
              </w:rPr>
            </w:r>
          </w:p>
        </w:tc>
      </w:tr>
      <w:tr>
        <w:trPr/>
        <w:tc>
          <w:tcPr>
            <w:tcW w:w="1818" w:type="dxa"/>
            <w:tcBorders/>
          </w:tcPr>
          <w:p>
            <w:pPr>
              <w:pStyle w:val="Normal"/>
              <w:rPr>
                <w:lang w:val="en-US" w:eastAsia="en-US"/>
              </w:rPr>
            </w:pPr>
            <w:r>
              <w:rPr>
                <w:lang w:val="en-US" w:eastAsia="en-US"/>
              </w:rPr>
              <w:t>11.50 am</w:t>
            </w:r>
          </w:p>
        </w:tc>
        <w:tc>
          <w:tcPr>
            <w:tcW w:w="5940" w:type="dxa"/>
            <w:tcBorders/>
          </w:tcPr>
          <w:p>
            <w:pPr>
              <w:pStyle w:val="Heading1"/>
              <w:ind w:hanging="0" w:start="0"/>
              <w:rPr>
                <w:rFonts w:ascii="Helv;Arial" w:hAnsi="Helv;Arial" w:cs="Helv;Arial"/>
                <w:b w:val="false"/>
                <w:color w:val="auto"/>
              </w:rPr>
            </w:pPr>
            <w:r>
              <w:rPr>
                <w:b w:val="false"/>
                <w:color w:val="auto"/>
              </w:rPr>
              <w:t>Regulation of credit derivatives</w:t>
            </w:r>
          </w:p>
          <w:p>
            <w:pPr>
              <w:pStyle w:val="Normal"/>
              <w:numPr>
                <w:ilvl w:val="0"/>
                <w:numId w:val="8"/>
              </w:numPr>
              <w:rPr/>
            </w:pPr>
            <w:r>
              <w:rPr/>
              <w:t>Overview of the global market regulations from the PwC global survey</w:t>
            </w:r>
          </w:p>
          <w:p>
            <w:pPr>
              <w:pStyle w:val="Normal"/>
              <w:numPr>
                <w:ilvl w:val="0"/>
                <w:numId w:val="8"/>
              </w:numPr>
              <w:rPr/>
            </w:pPr>
            <w:r>
              <w:rPr/>
              <w:t>Impact of Basle II</w:t>
            </w:r>
          </w:p>
          <w:p>
            <w:pPr>
              <w:pStyle w:val="Normal"/>
              <w:rPr/>
            </w:pPr>
            <w:r>
              <w:rPr/>
            </w:r>
          </w:p>
        </w:tc>
      </w:tr>
      <w:tr>
        <w:trPr/>
        <w:tc>
          <w:tcPr>
            <w:tcW w:w="1818" w:type="dxa"/>
            <w:tcBorders/>
          </w:tcPr>
          <w:p>
            <w:pPr>
              <w:pStyle w:val="Normal"/>
              <w:rPr>
                <w:lang w:val="en-US" w:eastAsia="en-US"/>
              </w:rPr>
            </w:pPr>
            <w:r>
              <w:rPr>
                <w:lang w:val="en-US" w:eastAsia="en-US"/>
              </w:rPr>
              <w:t>12.10</w:t>
            </w:r>
          </w:p>
        </w:tc>
        <w:tc>
          <w:tcPr>
            <w:tcW w:w="5940" w:type="dxa"/>
            <w:tcBorders/>
          </w:tcPr>
          <w:p>
            <w:pPr>
              <w:pStyle w:val="Normal"/>
              <w:rPr>
                <w:lang w:val="en-US" w:eastAsia="en-US"/>
              </w:rPr>
            </w:pPr>
            <w:r>
              <w:rPr>
                <w:lang w:val="en-US" w:eastAsia="en-US"/>
              </w:rPr>
              <w:t>Lunch</w:t>
            </w:r>
          </w:p>
          <w:p>
            <w:pPr>
              <w:pStyle w:val="Normal"/>
              <w:rPr>
                <w:lang w:val="en-US" w:eastAsia="en-US"/>
              </w:rPr>
            </w:pPr>
            <w:r>
              <w:rPr>
                <w:lang w:val="en-US" w:eastAsia="en-US"/>
              </w:rPr>
            </w:r>
          </w:p>
        </w:tc>
      </w:tr>
      <w:tr>
        <w:trPr/>
        <w:tc>
          <w:tcPr>
            <w:tcW w:w="1818" w:type="dxa"/>
            <w:tcBorders/>
          </w:tcPr>
          <w:p>
            <w:pPr>
              <w:pStyle w:val="Normal"/>
              <w:rPr>
                <w:lang w:val="en-US" w:eastAsia="en-US"/>
              </w:rPr>
            </w:pPr>
            <w:r>
              <w:rPr>
                <w:lang w:val="en-US" w:eastAsia="en-US"/>
              </w:rPr>
              <w:t>1-30 noon</w:t>
            </w:r>
          </w:p>
        </w:tc>
        <w:tc>
          <w:tcPr>
            <w:tcW w:w="5940" w:type="dxa"/>
            <w:tcBorders/>
          </w:tcPr>
          <w:p>
            <w:pPr>
              <w:pStyle w:val="Normal"/>
              <w:rPr/>
            </w:pPr>
            <w:r>
              <w:rPr/>
              <w:t>Credit Derivatives in Emerging Markets : A Product Brief part 2</w:t>
            </w:r>
          </w:p>
          <w:p>
            <w:pPr>
              <w:pStyle w:val="Normal"/>
              <w:numPr>
                <w:ilvl w:val="0"/>
                <w:numId w:val="7"/>
              </w:numPr>
              <w:rPr/>
            </w:pPr>
            <w:r>
              <w:rPr/>
              <w:t>Credit linked notes</w:t>
            </w:r>
          </w:p>
          <w:p>
            <w:pPr>
              <w:pStyle w:val="Normal"/>
              <w:numPr>
                <w:ilvl w:val="0"/>
                <w:numId w:val="7"/>
              </w:numPr>
              <w:rPr/>
            </w:pPr>
            <w:r>
              <w:rPr/>
              <w:t>Total return swaps</w:t>
            </w:r>
          </w:p>
          <w:p>
            <w:pPr>
              <w:pStyle w:val="Normal"/>
              <w:numPr>
                <w:ilvl w:val="0"/>
                <w:numId w:val="7"/>
              </w:numPr>
              <w:rPr>
                <w:lang w:val="en-US" w:eastAsia="en-US"/>
              </w:rPr>
            </w:pPr>
            <w:r>
              <w:rPr>
                <w:lang w:val="en-US" w:eastAsia="en-US"/>
              </w:rPr>
              <w:t>Synthetic Securitisation</w:t>
            </w:r>
          </w:p>
          <w:p>
            <w:pPr>
              <w:pStyle w:val="Normal"/>
              <w:ind w:firstLine="60" w:end="0"/>
              <w:rPr>
                <w:lang w:val="en-US" w:eastAsia="en-US"/>
              </w:rPr>
            </w:pPr>
            <w:r>
              <w:rPr>
                <w:lang w:val="en-US" w:eastAsia="en-US"/>
              </w:rPr>
            </w:r>
          </w:p>
        </w:tc>
      </w:tr>
      <w:tr>
        <w:trPr/>
        <w:tc>
          <w:tcPr>
            <w:tcW w:w="1818" w:type="dxa"/>
            <w:tcBorders/>
          </w:tcPr>
          <w:p>
            <w:pPr>
              <w:pStyle w:val="Normal"/>
              <w:rPr>
                <w:lang w:val="en-US" w:eastAsia="en-US"/>
              </w:rPr>
            </w:pPr>
            <w:r>
              <w:rPr>
                <w:lang w:val="en-US" w:eastAsia="en-US"/>
              </w:rPr>
              <w:t>2.30</w:t>
            </w:r>
          </w:p>
        </w:tc>
        <w:tc>
          <w:tcPr>
            <w:tcW w:w="5940" w:type="dxa"/>
            <w:tcBorders/>
          </w:tcPr>
          <w:p>
            <w:pPr>
              <w:pStyle w:val="Normal"/>
              <w:rPr>
                <w:lang w:val="en-US" w:eastAsia="en-US"/>
              </w:rPr>
            </w:pPr>
            <w:r>
              <w:rPr>
                <w:lang w:val="en-US" w:eastAsia="en-US"/>
              </w:rPr>
              <w:t>The New Credit Trading Model</w:t>
            </w:r>
          </w:p>
          <w:p>
            <w:pPr>
              <w:pStyle w:val="Normal"/>
              <w:numPr>
                <w:ilvl w:val="0"/>
                <w:numId w:val="3"/>
              </w:numPr>
              <w:rPr>
                <w:lang w:val="en-US" w:eastAsia="en-US"/>
              </w:rPr>
            </w:pPr>
            <w:r>
              <w:rPr>
                <w:lang w:val="en-US" w:eastAsia="en-US"/>
              </w:rPr>
              <w:t xml:space="preserve">The new Origination, Manage and Distribute (OMD) model </w:t>
            </w:r>
          </w:p>
          <w:p>
            <w:pPr>
              <w:pStyle w:val="Normal"/>
              <w:numPr>
                <w:ilvl w:val="0"/>
                <w:numId w:val="3"/>
              </w:numPr>
              <w:rPr>
                <w:lang w:val="en-US" w:eastAsia="en-US"/>
              </w:rPr>
            </w:pPr>
            <w:r>
              <w:rPr>
                <w:lang w:val="en-US" w:eastAsia="en-US"/>
              </w:rPr>
              <w:t>Different business models being set up</w:t>
            </w:r>
          </w:p>
          <w:p>
            <w:pPr>
              <w:pStyle w:val="Normal"/>
              <w:numPr>
                <w:ilvl w:val="0"/>
                <w:numId w:val="3"/>
              </w:numPr>
              <w:rPr>
                <w:lang w:val="en-US" w:eastAsia="en-US"/>
              </w:rPr>
            </w:pPr>
            <w:r>
              <w:rPr>
                <w:lang w:val="en-US" w:eastAsia="en-US"/>
              </w:rPr>
              <w:t>Infrastructure challenges with setting up a credit trading operation.</w:t>
            </w:r>
          </w:p>
          <w:p>
            <w:pPr>
              <w:pStyle w:val="Normal"/>
              <w:rPr>
                <w:lang w:val="en-US" w:eastAsia="en-US"/>
              </w:rPr>
            </w:pPr>
            <w:r>
              <w:rPr>
                <w:lang w:val="en-US" w:eastAsia="en-US"/>
              </w:rPr>
              <w:t xml:space="preserve">E commerce sites - Creditex and Creditradeincluding </w:t>
            </w:r>
          </w:p>
          <w:p>
            <w:pPr>
              <w:pStyle w:val="Normal"/>
              <w:rPr>
                <w:lang w:val="en-US" w:eastAsia="en-US"/>
              </w:rPr>
            </w:pPr>
            <w:r>
              <w:rPr>
                <w:lang w:val="en-US" w:eastAsia="en-US"/>
              </w:rPr>
              <w:t>Questions and Answers to expert panel</w:t>
            </w:r>
          </w:p>
          <w:p>
            <w:pPr>
              <w:pStyle w:val="Normal"/>
              <w:rPr>
                <w:lang w:val="en-US" w:eastAsia="en-US"/>
              </w:rPr>
            </w:pPr>
            <w:r>
              <w:rPr>
                <w:lang w:val="en-US" w:eastAsia="en-US"/>
              </w:rPr>
            </w:r>
          </w:p>
        </w:tc>
      </w:tr>
      <w:tr>
        <w:trPr/>
        <w:tc>
          <w:tcPr>
            <w:tcW w:w="1818" w:type="dxa"/>
            <w:tcBorders/>
          </w:tcPr>
          <w:p>
            <w:pPr>
              <w:pStyle w:val="Normal"/>
              <w:rPr>
                <w:lang w:val="en-US" w:eastAsia="en-US"/>
              </w:rPr>
            </w:pPr>
            <w:r>
              <w:rPr>
                <w:lang w:val="en-US" w:eastAsia="en-US"/>
              </w:rPr>
              <w:t>3.00</w:t>
            </w:r>
          </w:p>
        </w:tc>
        <w:tc>
          <w:tcPr>
            <w:tcW w:w="5940" w:type="dxa"/>
            <w:tcBorders/>
          </w:tcPr>
          <w:p>
            <w:pPr>
              <w:pStyle w:val="Normal"/>
              <w:rPr>
                <w:lang w:val="en-US" w:eastAsia="en-US"/>
              </w:rPr>
            </w:pPr>
            <w:r>
              <w:rPr>
                <w:lang w:val="en-US" w:eastAsia="en-US"/>
              </w:rPr>
              <w:t>End of Session 1</w:t>
            </w:r>
          </w:p>
          <w:p>
            <w:pPr>
              <w:pStyle w:val="Normal"/>
              <w:rPr>
                <w:lang w:val="en-US" w:eastAsia="en-US"/>
              </w:rPr>
            </w:pPr>
            <w:r>
              <w:rPr>
                <w:lang w:val="en-US" w:eastAsia="en-US"/>
              </w:rPr>
            </w:r>
          </w:p>
        </w:tc>
      </w:tr>
      <w:tr>
        <w:trPr/>
        <w:tc>
          <w:tcPr>
            <w:tcW w:w="7758" w:type="dxa"/>
            <w:gridSpan w:val="2"/>
            <w:tcBorders/>
          </w:tcPr>
          <w:p>
            <w:pPr>
              <w:pStyle w:val="Normal"/>
              <w:snapToGrid w:val="false"/>
              <w:rPr>
                <w:sz w:val="28"/>
                <w:lang w:val="en-US" w:eastAsia="en-US"/>
              </w:rPr>
            </w:pPr>
            <w:r>
              <w:rPr>
                <w:sz w:val="28"/>
                <w:lang w:val="en-US" w:eastAsia="en-US"/>
              </w:rPr>
            </w:r>
          </w:p>
        </w:tc>
      </w:tr>
      <w:tr>
        <w:trPr/>
        <w:tc>
          <w:tcPr>
            <w:tcW w:w="1818" w:type="dxa"/>
            <w:tcBorders/>
          </w:tcPr>
          <w:p>
            <w:pPr>
              <w:pStyle w:val="Normal"/>
              <w:snapToGrid w:val="false"/>
              <w:rPr>
                <w:sz w:val="28"/>
                <w:lang w:val="en-US" w:eastAsia="en-US"/>
              </w:rPr>
            </w:pPr>
            <w:r>
              <w:rPr>
                <w:sz w:val="28"/>
                <w:lang w:val="en-US" w:eastAsia="en-US"/>
              </w:rPr>
            </w:r>
          </w:p>
        </w:tc>
        <w:tc>
          <w:tcPr>
            <w:tcW w:w="5940" w:type="dxa"/>
            <w:tcBorders/>
          </w:tcPr>
          <w:p>
            <w:pPr>
              <w:pStyle w:val="Normal"/>
              <w:snapToGrid w:val="false"/>
              <w:rPr>
                <w:lang w:val="en-US" w:eastAsia="en-US"/>
              </w:rPr>
            </w:pPr>
            <w:r>
              <w:rPr>
                <w:lang w:val="en-US" w:eastAsia="en-US"/>
              </w:rPr>
            </w:r>
          </w:p>
        </w:tc>
      </w:tr>
      <w:tr>
        <w:trPr/>
        <w:tc>
          <w:tcPr>
            <w:tcW w:w="1818" w:type="dxa"/>
            <w:tcBorders>
              <w:bottom w:val="single" w:sz="12" w:space="0" w:color="008000"/>
            </w:tcBorders>
          </w:tcPr>
          <w:p>
            <w:pPr>
              <w:pStyle w:val="Normal"/>
              <w:snapToGrid w:val="false"/>
              <w:rPr>
                <w:lang w:val="en-US" w:eastAsia="en-US"/>
              </w:rPr>
            </w:pPr>
            <w:r>
              <w:rPr>
                <w:lang w:val="en-US" w:eastAsia="en-US"/>
              </w:rPr>
            </w:r>
          </w:p>
        </w:tc>
        <w:tc>
          <w:tcPr>
            <w:tcW w:w="5940" w:type="dxa"/>
            <w:tcBorders>
              <w:bottom w:val="single" w:sz="12" w:space="0" w:color="008000"/>
            </w:tcBorders>
          </w:tcPr>
          <w:p>
            <w:pPr>
              <w:pStyle w:val="Normal"/>
              <w:snapToGrid w:val="false"/>
              <w:rPr>
                <w:lang w:val="en-US" w:eastAsia="en-US"/>
              </w:rPr>
            </w:pPr>
            <w:r>
              <w:rPr>
                <w:lang w:val="en-US" w:eastAsia="en-US"/>
              </w:rPr>
            </w:r>
          </w:p>
        </w:tc>
      </w:tr>
    </w:tbl>
    <w:p>
      <w:pPr>
        <w:pStyle w:val="Normal"/>
        <w:rPr>
          <w:lang w:val="en-US" w:eastAsia="en-US"/>
        </w:rPr>
      </w:pPr>
      <w:r>
        <w:rPr>
          <w:lang w:val="en-US" w:eastAsia="en-US"/>
        </w:rPr>
      </w:r>
    </w:p>
    <w:p>
      <w:pPr>
        <w:pStyle w:val="Normal"/>
        <w:widowControl w:val="false"/>
        <w:pBdr>
          <w:bottom w:val="single" w:sz="4" w:space="1" w:color="000000"/>
        </w:pBdr>
        <w:tabs>
          <w:tab w:val="left" w:pos="720" w:leader="none"/>
          <w:tab w:val="left" w:pos="1080" w:leader="none"/>
          <w:tab w:val="left" w:pos="1440" w:leader="none"/>
          <w:tab w:val="left" w:pos="1800" w:leader="none"/>
          <w:tab w:val="left" w:pos="2160" w:leader="none"/>
          <w:tab w:val="left" w:pos="4478" w:leader="none"/>
          <w:tab w:val="right" w:pos="9000" w:leader="none"/>
        </w:tabs>
        <w:rPr>
          <w:b/>
          <w:sz w:val="28"/>
        </w:rPr>
      </w:pPr>
      <w:r>
        <w:rPr>
          <w:b/>
          <w:sz w:val="28"/>
        </w:rPr>
        <w:t>Presenters</w:t>
      </w:r>
    </w:p>
    <w:p>
      <w:pPr>
        <w:pStyle w:val="Normal"/>
        <w:widowControl w:val="false"/>
        <w:pBdr>
          <w:bottom w:val="single" w:sz="4" w:space="1" w:color="000000"/>
        </w:pBdr>
        <w:tabs>
          <w:tab w:val="left" w:pos="720" w:leader="none"/>
          <w:tab w:val="left" w:pos="1080" w:leader="none"/>
          <w:tab w:val="left" w:pos="1440" w:leader="none"/>
          <w:tab w:val="left" w:pos="1800" w:leader="none"/>
          <w:tab w:val="left" w:pos="2160" w:leader="none"/>
          <w:tab w:val="left" w:pos="4478" w:leader="none"/>
          <w:tab w:val="right" w:pos="9000" w:leader="none"/>
        </w:tabs>
        <w:rPr>
          <w:b/>
          <w:sz w:val="28"/>
        </w:rPr>
      </w:pPr>
      <w:r>
        <w:rPr>
          <w:b/>
          <w:sz w:val="28"/>
        </w:rPr>
      </w:r>
    </w:p>
    <w:p>
      <w:pPr>
        <w:pStyle w:val="Normal"/>
        <w:widowControl w:val="false"/>
        <w:pBdr>
          <w:bottom w:val="single" w:sz="4" w:space="1" w:color="000000"/>
        </w:pBdr>
        <w:tabs>
          <w:tab w:val="left" w:pos="720" w:leader="none"/>
          <w:tab w:val="left" w:pos="1080" w:leader="none"/>
          <w:tab w:val="left" w:pos="1440" w:leader="none"/>
          <w:tab w:val="left" w:pos="1800" w:leader="none"/>
          <w:tab w:val="left" w:pos="2160" w:leader="none"/>
          <w:tab w:val="left" w:pos="4478" w:leader="none"/>
          <w:tab w:val="right" w:pos="9000" w:leader="none"/>
        </w:tabs>
        <w:rPr>
          <w:lang w:eastAsia="en-US"/>
        </w:rPr>
      </w:pPr>
      <w:r>
        <w:rPr>
          <w:b/>
        </w:rPr>
        <w:t>Jonathan  Davies (PricewaterhouseCoopers London)</w:t>
      </w:r>
    </w:p>
    <w:p>
      <w:pPr>
        <w:pStyle w:val="Normal"/>
        <w:widowControl w:val="false"/>
        <w:tabs>
          <w:tab w:val="left" w:pos="720" w:leader="none"/>
          <w:tab w:val="left" w:pos="1080" w:leader="none"/>
          <w:tab w:val="left" w:pos="1440" w:leader="none"/>
          <w:tab w:val="left" w:pos="1800" w:leader="none"/>
          <w:tab w:val="left" w:pos="2160" w:leader="none"/>
          <w:tab w:val="left" w:pos="4478" w:leader="none"/>
          <w:tab w:val="right" w:pos="9000" w:leader="none"/>
        </w:tabs>
        <w:rPr>
          <w:lang w:eastAsia="en-US"/>
        </w:rPr>
      </w:pPr>
      <w:r>
        <w:rPr>
          <w:lang w:eastAsia="en-US"/>
        </w:rPr>
      </w:r>
    </w:p>
    <w:p>
      <w:pPr>
        <w:pStyle w:val="Normal"/>
        <w:rPr/>
      </w:pPr>
      <w:r>
        <w:rPr/>
        <w:t>Jonathan Davies heads up the global credit derivatives practice at PwC which is part of the Banking and Capital Markets Division . His team supports PricewaterhouseCoopers' clients in setting up derivatives infrastructure with a focus on credit derivatives. Recent assignments include for two major global investment banks reviewing their current structured credit infrastructure on a global basis and then designing a business model and the technology environment to support this business going forward. Jonathan also advises a number of financial institutions on the regulatory and accounting issues surrounding structured credit products. Jonathan has written a number of books on derivatives and chairs regular conference for our clients on the latest developments in the credit derivative market on a global basis. Prior to joining PwC in 1994 Jonathan worked on the debt capital markets side of Nikko Bank.</w:t>
      </w:r>
    </w:p>
    <w:p>
      <w:pPr>
        <w:pStyle w:val="Normal"/>
        <w:rPr/>
      </w:pPr>
      <w:r>
        <w:rPr/>
      </w:r>
    </w:p>
    <w:p>
      <w:pPr>
        <w:pStyle w:val="Normal"/>
        <w:rPr/>
      </w:pPr>
      <w:r>
        <w:rPr/>
      </w:r>
    </w:p>
    <w:p>
      <w:pPr>
        <w:pStyle w:val="Normal"/>
        <w:rPr/>
      </w:pPr>
      <w:r>
        <w:rPr/>
      </w:r>
    </w:p>
    <w:p>
      <w:pPr>
        <w:pStyle w:val="Normal"/>
        <w:rPr/>
      </w:pPr>
      <w:r>
        <w:rPr/>
      </w:r>
    </w:p>
    <w:p>
      <w:pPr>
        <w:pStyle w:val="Normal"/>
        <w:widowControl w:val="false"/>
        <w:pBdr>
          <w:bottom w:val="single" w:sz="4" w:space="1" w:color="000000"/>
        </w:pBdr>
        <w:tabs>
          <w:tab w:val="left" w:pos="720" w:leader="none"/>
          <w:tab w:val="left" w:pos="1080" w:leader="none"/>
          <w:tab w:val="left" w:pos="1440" w:leader="none"/>
          <w:tab w:val="left" w:pos="1800" w:leader="none"/>
          <w:tab w:val="left" w:pos="2160" w:leader="none"/>
          <w:tab w:val="left" w:pos="4478" w:leader="none"/>
          <w:tab w:val="right" w:pos="9000" w:leader="none"/>
        </w:tabs>
        <w:rPr>
          <w:b/>
        </w:rPr>
      </w:pPr>
      <w:r>
        <w:rPr>
          <w:b/>
        </w:rPr>
        <w:t>Richard  Collier (PricewaterhouseCoopers London)</w:t>
      </w:r>
    </w:p>
    <w:p>
      <w:pPr>
        <w:pStyle w:val="Normal"/>
        <w:rPr>
          <w:b/>
          <w:color w:val="000000"/>
          <w:sz w:val="22"/>
          <w:lang w:val="en-US" w:eastAsia="en-US"/>
        </w:rPr>
      </w:pPr>
      <w:r>
        <w:rPr/>
        <w:t xml:space="preserve"> </w:t>
      </w:r>
    </w:p>
    <w:p>
      <w:pPr>
        <w:pStyle w:val="Normal"/>
        <w:rPr>
          <w:color w:val="000000"/>
          <w:lang w:eastAsia="en-US"/>
        </w:rPr>
      </w:pPr>
      <w:r>
        <w:rPr>
          <w:color w:val="000000"/>
          <w:lang w:eastAsia="en-US"/>
        </w:rPr>
        <w:t xml:space="preserve">Richard Collier is PricewaterhouseCoopers'  global leader of the firm's banking and capital markets tax and law practice. He is a qualified barrister and chartered accountant.  He completed academic research in taxation at the universities of Cambridge (LL.M. thesis on transfer pricing) and London (Ph.D. thesis on development of tax treaties and implications of CFC rules).  He joined the firm in 1983, subsequently spending a year in New York in 1988-1989. Richard has specialised in capital markets and banking tax and legal issues for over 15 years and he. In 1990 he co authored the book international taxation of credit derivatives and has been heavily involved with credit derivatives over the past few years. Richard's clients include a number of US investment banks who he advises on structures. </w:t>
      </w:r>
    </w:p>
    <w:p>
      <w:pPr>
        <w:pStyle w:val="Normal"/>
        <w:rPr>
          <w:color w:val="000000"/>
          <w:sz w:val="28"/>
          <w:lang w:eastAsia="en-US"/>
        </w:rPr>
      </w:pPr>
      <w:r>
        <w:rPr>
          <w:color w:val="000000"/>
          <w:sz w:val="28"/>
          <w:lang w:eastAsia="en-US"/>
        </w:rPr>
      </w:r>
    </w:p>
    <w:p>
      <w:pPr>
        <w:pStyle w:val="Normal"/>
        <w:rPr>
          <w:b/>
        </w:rPr>
      </w:pPr>
      <w:r>
        <w:rPr>
          <w:b/>
          <w:sz w:val="28"/>
        </w:rPr>
        <w:t>The PwC Credit Derivative Practice "CDP"</w:t>
      </w:r>
    </w:p>
    <w:p>
      <w:pPr>
        <w:pStyle w:val="Normal"/>
        <w:rPr>
          <w:b/>
        </w:rPr>
      </w:pPr>
      <w:r>
        <w:rPr>
          <w:b/>
        </w:rPr>
      </w:r>
    </w:p>
    <w:p>
      <w:pPr>
        <w:pStyle w:val="Normal"/>
        <w:rPr/>
      </w:pPr>
      <w:r>
        <w:rPr/>
        <w:t>Publications :</w:t>
      </w:r>
    </w:p>
    <w:p>
      <w:pPr>
        <w:pStyle w:val="Normal"/>
        <w:rPr/>
      </w:pPr>
      <w:r>
        <w:rPr/>
        <w:t xml:space="preserve"> </w:t>
      </w:r>
    </w:p>
    <w:p>
      <w:pPr>
        <w:pStyle w:val="Normal"/>
        <w:rPr/>
      </w:pPr>
      <w:r>
        <w:rPr>
          <w:b/>
          <w:sz w:val="20"/>
          <w:lang w:eastAsia="en-US"/>
        </w:rPr>
        <w:t>Credit Derivatives</w:t>
      </w:r>
      <w:r>
        <w:rPr>
          <w:sz w:val="20"/>
          <w:lang w:eastAsia="en-US"/>
        </w:rPr>
        <w:t xml:space="preserve"> (Wiley 1998) The credit derivatives practice contributed to the accounting and taxation chapter</w:t>
      </w:r>
    </w:p>
    <w:p>
      <w:pPr>
        <w:pStyle w:val="Normal"/>
        <w:rPr/>
      </w:pPr>
      <w:r>
        <w:rPr>
          <w:b/>
          <w:sz w:val="20"/>
          <w:lang w:eastAsia="en-US"/>
        </w:rPr>
        <w:t>Credit Derivatives and credit linked notes</w:t>
      </w:r>
      <w:r>
        <w:rPr>
          <w:sz w:val="20"/>
          <w:lang w:eastAsia="en-US"/>
        </w:rPr>
        <w:t>. (Wiley  2000) Both Richard Collier and Jonathan Davies contributed the accounting and taxation chapters.</w:t>
      </w:r>
    </w:p>
    <w:p>
      <w:pPr>
        <w:pStyle w:val="Normal"/>
        <w:rPr/>
      </w:pPr>
      <w:r>
        <w:rPr>
          <w:b/>
          <w:sz w:val="20"/>
          <w:lang w:eastAsia="en-US"/>
        </w:rPr>
        <w:t>Credit Derivatives - Applications for Risk Management</w:t>
      </w:r>
      <w:r>
        <w:rPr>
          <w:sz w:val="20"/>
          <w:lang w:eastAsia="en-US"/>
        </w:rPr>
        <w:t xml:space="preserve"> (Euromoney, 1998)  This book contains chapters written by market practitioners and an article on risk management of a credit derivative operation written by Mike Haubenstok and Jonathan Davies..</w:t>
      </w:r>
    </w:p>
    <w:p>
      <w:pPr>
        <w:pStyle w:val="Normal"/>
        <w:rPr/>
      </w:pPr>
      <w:r>
        <w:rPr>
          <w:b/>
          <w:sz w:val="20"/>
          <w:lang w:eastAsia="en-US"/>
        </w:rPr>
        <w:t xml:space="preserve">Credit Derivatives </w:t>
      </w:r>
      <w:r>
        <w:rPr>
          <w:sz w:val="20"/>
          <w:lang w:eastAsia="en-US"/>
        </w:rPr>
        <w:t>published in 1999 by the British Bankers Association in the UK.  The authors are key market practitioners and lawyers.   Jonathan Davies authored two articles in this book, the first on risk management and the second on accounting.</w:t>
      </w:r>
    </w:p>
    <w:p>
      <w:pPr>
        <w:pStyle w:val="Normal"/>
        <w:rPr/>
      </w:pPr>
      <w:r>
        <w:rPr>
          <w:b/>
          <w:sz w:val="20"/>
          <w:lang w:eastAsia="en-US"/>
        </w:rPr>
        <w:t xml:space="preserve">Credit Derivatives - A Guide to the Mechanics </w:t>
      </w:r>
      <w:r>
        <w:rPr>
          <w:sz w:val="20"/>
          <w:lang w:eastAsia="en-US"/>
        </w:rPr>
        <w:t>(PwC internal publications, 1999) written by John Finnerty from the CDP.  This book covers in detail the mechanics, applications and pricing issues of credit derivatives.</w:t>
      </w:r>
    </w:p>
    <w:p>
      <w:pPr>
        <w:pStyle w:val="Normal"/>
        <w:rPr/>
      </w:pPr>
      <w:r>
        <w:rPr>
          <w:b/>
          <w:sz w:val="20"/>
          <w:lang w:eastAsia="en-US"/>
        </w:rPr>
        <w:t>Credit Derivatives - Legal, Accounting and Regulatory Aspects</w:t>
      </w:r>
      <w:r>
        <w:rPr>
          <w:sz w:val="20"/>
          <w:lang w:eastAsia="en-US"/>
        </w:rPr>
        <w:t xml:space="preserve"> (Maxwell and Sweet, released November 1999).  This publication wil include an article on fair value of credit derivatives by Jonathan Davies and an article on taxation by Richard Collier of the CDP.</w:t>
      </w:r>
      <w:r>
        <w:rPr>
          <w:b/>
          <w:sz w:val="20"/>
          <w:lang w:eastAsia="en-US"/>
        </w:rPr>
        <w:t xml:space="preserve"> </w:t>
      </w:r>
    </w:p>
    <w:p>
      <w:pPr>
        <w:pStyle w:val="Normal"/>
        <w:rPr/>
      </w:pPr>
      <w:r>
        <w:rPr>
          <w:b/>
          <w:sz w:val="20"/>
          <w:lang w:eastAsia="en-US"/>
        </w:rPr>
        <w:t>The Financial Jungle - A user guide for credit derivatives.</w:t>
      </w:r>
      <w:r>
        <w:rPr>
          <w:sz w:val="20"/>
          <w:lang w:eastAsia="en-US"/>
        </w:rPr>
        <w:t xml:space="preserve"> This publication was written by Jonathan Davies and Phil Rivett.  The book explains credit derivative structures and includes detailed accounting guidance.  Structures discussed range from simple vanilla products to the complex hybrid products.  It also addresses the issue of how to devlop an infrastructure suitable for supporting a credit derivative operation.</w:t>
      </w:r>
    </w:p>
    <w:p>
      <w:pPr>
        <w:pStyle w:val="Normal"/>
        <w:rPr/>
      </w:pPr>
      <w:r>
        <w:rPr>
          <w:b/>
          <w:sz w:val="20"/>
          <w:lang w:eastAsia="en-US"/>
        </w:rPr>
        <w:t>Credit Derivatives - Global Taxation</w:t>
      </w:r>
      <w:r>
        <w:rPr>
          <w:sz w:val="20"/>
          <w:lang w:eastAsia="en-US"/>
        </w:rPr>
        <w:t xml:space="preserve"> This is a PwC publication which provides information on the taxation of credit derivative products in over 20 jurisdictions globally.</w:t>
      </w:r>
    </w:p>
    <w:p>
      <w:pPr>
        <w:pStyle w:val="Normal"/>
        <w:rPr>
          <w:b/>
          <w:sz w:val="20"/>
          <w:lang w:eastAsia="en-US"/>
        </w:rPr>
      </w:pPr>
      <w:r>
        <w:rPr>
          <w:b/>
          <w:sz w:val="20"/>
          <w:lang w:eastAsia="en-US"/>
        </w:rPr>
      </w:r>
    </w:p>
    <w:p>
      <w:pPr>
        <w:pStyle w:val="Normal"/>
        <w:rPr>
          <w:b/>
          <w:lang w:eastAsia="en-US"/>
        </w:rPr>
      </w:pPr>
      <w:r>
        <w:rPr>
          <w:b/>
          <w:lang w:eastAsia="en-US"/>
        </w:rPr>
        <w:t>Credit derivative breakfast forum</w:t>
      </w:r>
    </w:p>
    <w:p>
      <w:pPr>
        <w:pStyle w:val="Normal"/>
        <w:rPr>
          <w:b/>
          <w:sz w:val="20"/>
          <w:lang w:eastAsia="en-US"/>
        </w:rPr>
      </w:pPr>
      <w:r>
        <w:rPr>
          <w:b/>
          <w:sz w:val="20"/>
          <w:lang w:eastAsia="en-US"/>
        </w:rPr>
      </w:r>
    </w:p>
    <w:p>
      <w:pPr>
        <w:pStyle w:val="Normal"/>
        <w:rPr>
          <w:color w:val="000000"/>
          <w:sz w:val="20"/>
          <w:lang w:eastAsia="en-US"/>
        </w:rPr>
      </w:pPr>
      <w:r>
        <w:rPr>
          <w:color w:val="000000"/>
          <w:sz w:val="20"/>
          <w:lang w:eastAsia="en-US"/>
        </w:rPr>
        <w:t>In July 1998, the CDP established the London Credit Derivatives Breakfast Forum. The forum is held every two months for middle and back office staff and is attended by over 30 different institutions. The purpose of the forum is to assist with the development of the understanding of product issues from a back and middle office perspective, which leads to the enhancement of product infrastructure. In July 1999, the New York Credit Derivative Breakfast Forum was initiated.</w:t>
      </w:r>
    </w:p>
    <w:p>
      <w:pPr>
        <w:pStyle w:val="Normal"/>
        <w:ind w:start="360" w:end="0"/>
        <w:rPr>
          <w:color w:val="000000"/>
          <w:sz w:val="20"/>
          <w:lang w:eastAsia="en-US"/>
        </w:rPr>
      </w:pPr>
      <w:r>
        <w:rPr>
          <w:color w:val="000000"/>
          <w:sz w:val="20"/>
          <w:lang w:eastAsia="en-US"/>
        </w:rPr>
      </w:r>
    </w:p>
    <w:p>
      <w:pPr>
        <w:pStyle w:val="Normal"/>
        <w:rPr>
          <w:sz w:val="20"/>
          <w:lang w:eastAsia="en-US"/>
        </w:rPr>
      </w:pPr>
      <w:r>
        <w:rPr>
          <w:color w:val="000000"/>
          <w:sz w:val="20"/>
          <w:lang w:eastAsia="en-US"/>
        </w:rPr>
        <w:t>The CDP are regular speakers on conferences on credit derivatives and have presented in London, Paris, New York, Copenhagen, Oslo, Amsterdam, Frankfurt, Tokyo, Singapore, Kuala Lumpur and Hong Kong. The practice has been authors of numerous articles on credit derivatives and is regularly quoted in the press. The CDP has designed and run training courses for banks, regulators and industry practitioners.</w:t>
      </w:r>
    </w:p>
    <w:p>
      <w:pPr>
        <w:pStyle w:val="Normal"/>
        <w:widowControl w:val="false"/>
        <w:pBdr>
          <w:bottom w:val="single" w:sz="4" w:space="1" w:color="000000"/>
        </w:pBdr>
        <w:tabs>
          <w:tab w:val="left" w:pos="720" w:leader="none"/>
          <w:tab w:val="left" w:pos="1080" w:leader="none"/>
          <w:tab w:val="left" w:pos="1440" w:leader="none"/>
          <w:tab w:val="left" w:pos="1800" w:leader="none"/>
          <w:tab w:val="left" w:pos="2160" w:leader="none"/>
          <w:tab w:val="left" w:pos="4478" w:leader="none"/>
          <w:tab w:val="right" w:pos="9000" w:leader="none"/>
        </w:tabs>
        <w:rPr>
          <w:sz w:val="20"/>
          <w:lang w:eastAsia="en-US"/>
        </w:rPr>
      </w:pPr>
      <w:r>
        <w:rPr>
          <w:sz w:val="20"/>
          <w:lang w:eastAsia="en-US"/>
        </w:rPr>
        <w:t xml:space="preserve"> </w:t>
      </w:r>
    </w:p>
    <w:sectPr>
      <w:headerReference w:type="default" r:id="rId2"/>
      <w:type w:val="nextPage"/>
      <w:pgSz w:w="11906" w:h="16838"/>
      <w:pgMar w:left="1786" w:right="1191" w:gutter="0" w:header="595" w:top="1684" w:footer="0" w:bottom="16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3024505" cy="3530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6" t="-52" r="-6" b="-52"/>
                  <a:stretch>
                    <a:fillRect/>
                  </a:stretch>
                </pic:blipFill>
                <pic:spPr bwMode="auto">
                  <a:xfrm>
                    <a:off x="0" y="0"/>
                    <a:ext cx="3024505" cy="3530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outlineLvl w:val="0"/>
    </w:pPr>
    <w:rPr>
      <w:b/>
      <w:color w:val="000000"/>
      <w:lang w:val="en-CA" w:eastAsia="en-US"/>
    </w:rPr>
  </w:style>
  <w:style w:type="paragraph" w:styleId="Heading2">
    <w:name w:val="heading 2"/>
    <w:basedOn w:val="Normal"/>
    <w:next w:val="Normal"/>
    <w:qFormat/>
    <w:pPr>
      <w:keepNext w:val="true"/>
      <w:numPr>
        <w:ilvl w:val="1"/>
        <w:numId w:val="1"/>
      </w:numPr>
      <w:outlineLvl w:val="1"/>
    </w:pPr>
    <w:rPr>
      <w:b/>
      <w:sz w:val="28"/>
      <w:lang w:val="en-US" w:eastAsia="en-US"/>
    </w:rPr>
  </w:style>
  <w:style w:type="character" w:styleId="WW8Num1z0">
    <w:name w:val="WW8Num1z0"/>
    <w:qFormat/>
    <w:rPr>
      <w:rFonts w:ascii="Wingdings" w:hAnsi="Wingdings" w:cs="Wingdings"/>
    </w:rPr>
  </w:style>
  <w:style w:type="character" w:styleId="WW8Num2z0">
    <w:name w:val="WW8Num2z0"/>
    <w:qFormat/>
    <w:rPr>
      <w:rFonts w:ascii="Symbol" w:hAnsi="Symbol" w:cs="Symbol"/>
      <w:sz w:val="24"/>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Header"/>
    <w:pPr>
      <w:keepLines/>
      <w:tabs>
        <w:tab w:val="clear" w:pos="4153"/>
        <w:tab w:val="clear" w:pos="8306"/>
        <w:tab w:val="left" w:pos="720" w:leader="none"/>
        <w:tab w:val="left" w:pos="1440" w:leader="none"/>
        <w:tab w:val="left" w:pos="2304" w:leader="none"/>
        <w:tab w:val="center" w:pos="4147" w:leader="none"/>
        <w:tab w:val="right" w:pos="8309" w:leader="none"/>
      </w:tabs>
      <w:spacing w:before="0" w:after="288"/>
      <w:jc w:val="both"/>
    </w:pPr>
    <w:rPr>
      <w:kern w:val="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2001-05-17T15:40:00Z</dcterms:created>
  <dc:creator>PricewaterhouseCoopers</dc:creator>
  <dc:description/>
  <dc:language>en-CA</dc:language>
  <cp:lastModifiedBy>PricewaterhouseCoopers</cp:lastModifiedBy>
  <cp:lastPrinted>2001-05-17T19:02:00Z</cp:lastPrinted>
  <dcterms:modified xsi:type="dcterms:W3CDTF">2001-05-17T15:40:00Z</dcterms:modified>
  <cp:revision>2</cp:revision>
  <dc:subject/>
  <dc:title>Credit derivatives – putting it all together</dc:title>
</cp:coreProperties>
</file>