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Florida’s Power Needs</w:t>
      </w:r>
    </w:p>
    <w:p>
      <w:pPr>
        <w:pStyle w:val="Normal"/>
        <w:rPr>
          <w:rFonts w:ascii="Arial" w:hAnsi="Arial" w:cs="Arial"/>
          <w:sz w:val="24"/>
        </w:rPr>
      </w:pPr>
      <w:r>
        <w:rPr>
          <w:rFonts w:cs="Arial" w:ascii="Arial" w:hAnsi="Arial"/>
          <w:sz w:val="24"/>
        </w:rPr>
      </w:r>
    </w:p>
    <w:p>
      <w:pPr>
        <w:pStyle w:val="Normal"/>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Reserve Margins</w:t>
      </w:r>
    </w:p>
    <w:p>
      <w:pPr>
        <w:pStyle w:val="Normal"/>
        <w:jc w:val="both"/>
        <w:rPr>
          <w:rFonts w:ascii="Arial" w:hAnsi="Arial" w:cs="Arial"/>
          <w:b/>
        </w:rPr>
      </w:pPr>
      <w:r>
        <w:rPr>
          <w:rFonts w:cs="Arial" w:ascii="Arial" w:hAnsi="Arial"/>
          <w:b/>
        </w:rPr>
      </w:r>
    </w:p>
    <w:p>
      <w:pPr>
        <w:pStyle w:val="BodyText"/>
        <w:jc w:val="both"/>
        <w:rPr>
          <w:sz w:val="24"/>
        </w:rPr>
      </w:pPr>
      <w:r>
        <w:rPr>
          <w:sz w:val="24"/>
        </w:rPr>
        <w:t>-- Florida's reserve margins have historically relied heavily upon interruptible supply contracts with industrial and commercial customers, imports of energy from neighboring states, and power purchases from in-state non-utility generators.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rPr>
        <w:t xml:space="preserve">-- According to the Florida Reliability Coordinating Council’s (FRCC) </w:t>
      </w:r>
      <w:r>
        <w:rPr>
          <w:rFonts w:cs="Arial" w:ascii="Arial" w:hAnsi="Arial"/>
          <w:u w:val="single"/>
        </w:rPr>
        <w:t>2000 Regional Load &amp; Resource Plan</w:t>
      </w:r>
      <w:r>
        <w:rPr>
          <w:rFonts w:cs="Arial" w:ascii="Arial" w:hAnsi="Arial"/>
        </w:rPr>
        <w:t xml:space="preserve">, Florida’s forecast gross reserve margin in 2000 was 16%.  The reserve margin net of exercising load management and interruption to industrial/commercial load is 7%.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Walter Revell, chairman of Florida’s 2020 Energy Commission, confirmed that “without extraordinary management techniques, including power disruption, Florida’s reserve margin is 7 percent.”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After adjustments to net out power imported from neighboring states, FRCC’s  forecasted reserve margin in 2000 was 3%.  Without power purchases from in-state non-utility generators, the forecasted reserve margin would have been negative 4%.</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In an April 23 article, Larry Makovich, senior director at Cambridge Energy Research Associates in Massachusetts, noted that Florida is “on the edge” of future power problems saying “it wouldn’t take a lot to create a problem—a heat wave, a major disruption in a gas line or a lot of off-line maintenance problems.”</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w:t>
      </w:r>
      <w:r>
        <w:rPr>
          <w:rFonts w:cs="Arial" w:ascii="Arial" w:hAnsi="Arial"/>
        </w:rPr>
        <w:t xml:space="preserve"> Andrew Bertron of the Florida Alliance for Lower Electric Rates Today said in a January 19, 2001 article in the Miami Herald that “Florida is critically short of power and lacks the reserve margins it needs to serve customers.”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Demand Growth</w:t>
      </w:r>
    </w:p>
    <w:p>
      <w:pPr>
        <w:pStyle w:val="Normal"/>
        <w:jc w:val="both"/>
        <w:rPr>
          <w:rFonts w:ascii="Arial" w:hAnsi="Arial" w:cs="Arial"/>
          <w:b/>
        </w:rPr>
      </w:pPr>
      <w:r>
        <w:rPr>
          <w:rFonts w:cs="Arial" w:ascii="Arial" w:hAnsi="Arial"/>
          <w:b/>
        </w:rPr>
      </w:r>
    </w:p>
    <w:p>
      <w:pPr>
        <w:pStyle w:val="Normal"/>
        <w:jc w:val="both"/>
        <w:rPr/>
      </w:pPr>
      <w:r>
        <w:rPr>
          <w:rFonts w:cs="Arial" w:ascii="Arial" w:hAnsi="Arial"/>
        </w:rPr>
        <w:t>-- Since the early 1990s, according to the FRCC, actual annual demand growth in Florida has been 4% to 6%. During this same period, however, FRCC forecasted annual demand growth of 2%, and FRCC continues to forecast average annual demand growth of 2% for the years 2001 – 2009.</w:t>
      </w:r>
      <w:r>
        <w:rPr>
          <w:rFonts w:cs="Arial" w:ascii="Arial" w:hAnsi="Arial"/>
          <w:b/>
        </w:rPr>
        <w:t xml:space="preserve"> </w:t>
      </w:r>
    </w:p>
    <w:p>
      <w:pPr>
        <w:pStyle w:val="Normal"/>
        <w:ind w:start="360" w:end="0"/>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As reported in the May 21, 2001 edition of the Los Angeles Times in an article about the National Energy Policy Report, “t</w:t>
      </w:r>
      <w:r>
        <w:rPr>
          <w:rFonts w:cs="Arial" w:ascii="Arial" w:hAnsi="Arial"/>
          <w:color w:val="000000"/>
        </w:rPr>
        <w:t xml:space="preserve">he most basic fact pushing the new policy is an Energy Department projection that U.S. use of electricity will grow seven times faster in the next two decades than it has in the last 10 years.” </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New Power Plants</w:t>
      </w:r>
    </w:p>
    <w:p>
      <w:pPr>
        <w:pStyle w:val="Normal"/>
        <w:jc w:val="both"/>
        <w:rPr>
          <w:rFonts w:ascii="Arial" w:hAnsi="Arial" w:cs="Arial"/>
          <w:b/>
        </w:rPr>
      </w:pPr>
      <w:r>
        <w:rPr>
          <w:rFonts w:cs="Arial" w:ascii="Arial" w:hAnsi="Arial"/>
          <w:b/>
        </w:rPr>
      </w:r>
    </w:p>
    <w:p>
      <w:pPr>
        <w:pStyle w:val="BodyTextIndent"/>
        <w:ind w:start="0" w:end="0"/>
        <w:rPr/>
      </w:pPr>
      <w:r>
        <w:rPr/>
        <w:t xml:space="preserve">-- Additional power plant capacity is needed in Florida to improve system reliability, and to satisfy existing and future demand.  These new power plants will be a mix of base-load facilities and peaker plants. Peaker plants operate only during periods of high energy demand - when Floridians need power the most. </w:t>
      </w:r>
    </w:p>
    <w:p>
      <w:pPr>
        <w:pStyle w:val="Normal"/>
        <w:ind w:start="36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 It is widely recognized that merchant plants will help to serve this need. An acknowledgment of this comes from Florida’s utilities, which have included purchased power in their Ten-Year Site Plans (2000-2009), which were reviewed by the Florida Public Service Commission in December 2000. These Ten Year Site Plans call for an average of 10 percent of Florida customers’ needs to be met by purchased power from in-state non-utility generators and imports, and FPL recently stated that it will likely have to issue Requests For Proposals for up to 4,250 MW of new capacity that it will need over the next 10 years (Global Power Report, April 13, 2001).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 Florida is a net importer of power from neighboring states. According to the </w:t>
      </w:r>
      <w:r>
        <w:rPr>
          <w:rFonts w:cs="Arial" w:ascii="Arial" w:hAnsi="Arial"/>
          <w:u w:val="single"/>
        </w:rPr>
        <w:t>FRCC’s 2000 Regional Load &amp; Resource Plan</w:t>
      </w:r>
      <w:r>
        <w:rPr>
          <w:rFonts w:cs="Arial" w:ascii="Arial" w:hAnsi="Arial"/>
        </w:rPr>
        <w:t>, the FRCC was forecast to import 3,483 MW per day from neighboring states in 2000, and an average of 3,200</w:t>
      </w:r>
      <w:r>
        <w:rPr>
          <w:rFonts w:cs="Arial" w:ascii="Arial" w:hAnsi="Arial"/>
          <w:b/>
        </w:rPr>
        <w:t xml:space="preserve"> </w:t>
      </w:r>
      <w:r>
        <w:rPr>
          <w:rFonts w:cs="Arial" w:ascii="Arial" w:hAnsi="Arial"/>
        </w:rPr>
        <w:t>MW per day for each year from 2001-2009. As power demand increases in these states, they will be able to export less to serve the needs of Floridians, which will further increase the need for additional construction of in-state power plants.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pPr>
      <w:r>
        <w:rPr/>
        <w:t>Similarities to California</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 The reliance of Florida’s utilities on interruptible supply contracts with industrial and commercial customers, plus a high reliance on imports as a method to maintain reserve margins, are </w:t>
      </w:r>
      <w:r>
        <w:rPr>
          <w:rFonts w:cs="Arial" w:ascii="Arial" w:hAnsi="Arial"/>
          <w:color w:val="000000"/>
        </w:rPr>
        <w:t>policies very similar to California's policies that contributed to its present energy crisis.</w:t>
      </w:r>
      <w:r>
        <w:rPr>
          <w:rFonts w:cs="Arial" w:ascii="Arial" w:hAnsi="Arial"/>
        </w:rPr>
        <w:t xml:space="preserve"> By increasing the supply base, the construction of new in-state capacity proposed by merchant plant developers will reduce the reliance on interruptible supply contracts and imports.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 </w:t>
      </w:r>
      <w:r>
        <w:rPr>
          <w:rFonts w:cs="Arial" w:ascii="Arial" w:hAnsi="Arial"/>
          <w:color w:val="000000"/>
        </w:rPr>
        <w:t>Much like Florida, California has historically subjected merchant power plant developers to significant development restrictions, which discouraged the construction of new plants. With the current problems facing California, leaders in California now recognize the downside of discouraging new generation.  The lack of sufficient in-state energy supply and the need for new plant construction is widely recognized. In an effort to help alleviate the energy crisis, California Governor Davis has taken significant steps to both attract new power plant development, and expedite an otherwise complicated permitting process.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Helv" w:hAnsi="Helv" w:cs="Helv"/>
      <w:b/>
      <w:bCs/>
      <w:color w:val="000000"/>
      <w:szCs w:val="20"/>
    </w:rPr>
  </w:style>
  <w:style w:type="paragraph" w:styleId="Heading2">
    <w:name w:val="heading 2"/>
    <w:basedOn w:val="Normal"/>
    <w:next w:val="Normal"/>
    <w:qFormat/>
    <w:pPr>
      <w:keepNext w:val="true"/>
      <w:numPr>
        <w:ilvl w:val="1"/>
        <w:numId w:val="1"/>
      </w:numPr>
      <w:jc w:val="both"/>
      <w:outlineLvl w:val="1"/>
    </w:pPr>
    <w:rPr>
      <w:rFonts w:ascii="Arial" w:hAnsi="Arial" w:cs="Arial"/>
      <w:b/>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eastAsia="Times New Roman" w:cs="Times New Roman"/>
      <w:b w:val="false"/>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autoSpaceDE w:val="false"/>
      <w:spacing w:lineRule="atLeast" w:line="240"/>
      <w:jc w:val="center"/>
    </w:pPr>
    <w:rPr>
      <w:rFonts w:ascii="Helv" w:hAnsi="Helv" w:cs="Helv"/>
      <w:b/>
      <w:bCs/>
      <w:color w:val="000000"/>
      <w:sz w:val="40"/>
      <w:szCs w:val="20"/>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autoSpaceDE w:val="false"/>
      <w:spacing w:lineRule="atLeast" w:line="240"/>
    </w:pPr>
    <w:rPr>
      <w:rFonts w:ascii="Helv" w:hAnsi="Helv" w:cs="Helv"/>
      <w:b/>
      <w:bCs/>
      <w:color w:val="00000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2001-05-22T23:00:00Z</dcterms:created>
  <dc:creator>ethode</dc:creator>
  <dc:description/>
  <dc:language>en-CA</dc:language>
  <cp:lastModifiedBy>cnicola</cp:lastModifiedBy>
  <cp:lastPrinted>2001-05-23T10:11:00Z</cp:lastPrinted>
  <dcterms:modified xsi:type="dcterms:W3CDTF">2001-05-23T15:49:00Z</dcterms:modified>
  <cp:revision>7</cp:revision>
  <dc:subject/>
  <dc:title>Florida’s Power Needs</dc:title>
</cp:coreProperties>
</file>