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brokers identified below (collectively referred to herein as “Broker”) wish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except for any unauthorized access or use of the Passwords due to the acts or omissions of Enron or any of its officer, directors, employees, representative or agents,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Enron agrees that it will provide broker with no less than thirty (30) days written notice prior to posting to the Website an updated, modified or otherwise revised Online Beta.. In the event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 xml:space="preserve">In consideration of Enron granting of access to the Website to Broker, Broker will pay to Enron a fee of $200,000 (the “Access Fee”) which fee </w:t>
      </w:r>
      <w:r>
        <w:rPr/>
        <w:t>shall be due and payable in equal quarterly installments, with the first such installment being due and payable within five business days after issuance or activation of the initial password and userid for Broker and each successive installment being due and payable on the first (1</w:t>
      </w:r>
      <w:r>
        <w:rPr>
          <w:vertAlign w:val="superscript"/>
        </w:rPr>
        <w:t>st</w:t>
      </w:r>
      <w:r>
        <w:rPr/>
        <w:t>) day of each third calendar month thereafter.</w:t>
      </w:r>
      <w:r>
        <w:rPr>
          <w:szCs w:val="24"/>
        </w:rPr>
        <w:t xml:space="preserve">  The term of this Fee Agreement shall be one year from the date of issuance or activation of the initial password and userid for Broker.  The term may be renewed for additional one-year periods upon written agreement of the parties.  </w:t>
      </w:r>
      <w:r>
        <w:rPr/>
        <w:t>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630"/>
        <w:rPr/>
      </w:pPr>
      <w:r>
        <w:rPr>
          <w:b/>
          <w:bCs/>
        </w:rPr>
        <w:t>ENRONONLINE, LLC</w:t>
      </w:r>
      <w:r>
        <w:rPr/>
        <w:t xml:space="preserve">                      </w:t>
        <w:tab/>
        <w:tab/>
      </w:r>
      <w:r>
        <w:rPr>
          <w:b/>
          <w:bCs/>
        </w:rPr>
        <w:t>FIRST ENERGY BROKERS-AS</w:t>
      </w:r>
    </w:p>
    <w:p>
      <w:pPr>
        <w:pStyle w:val="Normal"/>
        <w:widowControl/>
        <w:ind w:firstLine="720" w:start="1440" w:end="0"/>
        <w:rPr/>
      </w:pPr>
      <w:r>
        <w:rPr/>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040" w:start="5040" w:end="-990"/>
        <w:rPr/>
      </w:pPr>
      <w:r>
        <w:rPr/>
        <w:tab/>
        <w:tab/>
        <w:tab/>
        <w:tab/>
        <w:tab/>
        <w:tab/>
        <w:tab/>
      </w:r>
      <w:r>
        <w:rPr>
          <w:b/>
          <w:bCs/>
        </w:rPr>
        <w:t>NORWEGIAN ENERGY BROKERS-AS</w:t>
      </w:r>
    </w:p>
    <w:p>
      <w:pPr>
        <w:pStyle w:val="Normal"/>
        <w:widowControl/>
        <w:ind w:firstLine="720" w:start="1440" w:end="0"/>
        <w:rPr/>
      </w:pPr>
      <w:r>
        <w:rPr/>
        <w:tab/>
        <w:tab/>
        <w:tab/>
        <w:tab/>
        <w:t>BROKER</w:t>
      </w:r>
    </w:p>
    <w:p>
      <w:pPr>
        <w:pStyle w:val="Normal"/>
        <w:widowControl/>
        <w:ind w:firstLine="720" w:start="1440" w:end="0"/>
        <w:rPr/>
      </w:pPr>
      <w:r>
        <w:rPr/>
      </w:r>
    </w:p>
    <w:p>
      <w:pPr>
        <w:pStyle w:val="Heading1"/>
        <w:rPr>
          <w:b/>
          <w:bCs/>
          <w:sz w:val="24"/>
        </w:rPr>
      </w:pPr>
      <w:r>
        <w:rPr>
          <w:b/>
          <w:bCs/>
          <w:sz w:val="24"/>
        </w:rPr>
        <w:t>Proposed Initial Password for First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r>
    </w:p>
    <w:p>
      <w:pPr>
        <w:pStyle w:val="Heading1"/>
        <w:ind w:end="-270"/>
        <w:rPr>
          <w:b/>
          <w:bCs/>
          <w:sz w:val="24"/>
        </w:rPr>
      </w:pPr>
      <w:r>
        <w:rPr>
          <w:b/>
          <w:bCs/>
          <w:sz w:val="24"/>
        </w:rPr>
        <w:t>Proposed Initial Password for Norwegian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sectPr>
          <w:headerReference w:type="default" r:id="rId2"/>
          <w:footerReference w:type="default" r:id="rId3"/>
          <w:type w:val="nextPage"/>
          <w:pgSz w:w="12240" w:h="15840"/>
          <w:pgMar w:left="1152" w:right="1152" w:gutter="0" w:header="720" w:top="776" w:footer="720" w:bottom="776"/>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r>
    </w:p>
    <w:p>
      <w:pPr>
        <w:pStyle w:val="BodyText"/>
        <w:rPr/>
      </w:pPr>
      <w:r>
        <w:rPr/>
        <w:t>Exhibit A</w:t>
        <w:br/>
        <w:br/>
        <w:t>Specified Products For First Energy Brokers-AS</w:t>
        <w:br/>
      </w:r>
    </w:p>
    <w:p>
      <w:pPr>
        <w:pStyle w:val="Heading1"/>
        <w:rPr/>
      </w:pPr>
      <w:r>
        <w:rPr/>
        <w:t>UK Power</w:t>
      </w:r>
    </w:p>
    <w:p>
      <w:pPr>
        <w:pStyle w:val="Heading1"/>
        <w:rPr/>
      </w:pPr>
      <w:r>
        <w:rPr/>
        <w:t>UK Gas</w:t>
      </w:r>
    </w:p>
    <w:p>
      <w:pPr>
        <w:pStyle w:val="Heading1"/>
        <w:rPr/>
      </w:pPr>
      <w:r>
        <w:rPr/>
        <w:t>European Gas</w:t>
      </w:r>
    </w:p>
    <w:p>
      <w:pPr>
        <w:pStyle w:val="Heading1"/>
        <w:rPr/>
      </w:pPr>
      <w:r>
        <w:rPr/>
        <w:t>European Power</w:t>
      </w:r>
    </w:p>
    <w:p>
      <w:pPr>
        <w:pStyle w:val="Heading1"/>
        <w:rPr/>
      </w:pPr>
      <w:r>
        <w:rPr/>
        <w:t>European Coal</w:t>
      </w:r>
    </w:p>
    <w:p>
      <w:pPr>
        <w:pStyle w:val="Heading1"/>
        <w:rPr/>
      </w:pPr>
      <w:r>
        <w:rPr/>
        <w:t>European Bandwidth</w:t>
      </w:r>
    </w:p>
    <w:p>
      <w:pPr>
        <w:pStyle w:val="Normal"/>
        <w:rPr/>
      </w:pPr>
      <w:r>
        <w:rPr/>
      </w:r>
    </w:p>
    <w:p>
      <w:pPr>
        <w:pStyle w:val="Normal"/>
        <w:widowControl/>
        <w:tabs>
          <w:tab w:val="clear" w:pos="720"/>
          <w:tab w:val="left" w:pos="-1440" w:leader="none"/>
        </w:tabs>
        <w:ind w:hanging="5760" w:start="5760" w:end="0"/>
        <w:rPr>
          <w:sz w:val="20"/>
        </w:rPr>
      </w:pPr>
      <w:r>
        <w:rPr>
          <w:sz w:val="20"/>
        </w:rPr>
      </w:r>
    </w:p>
    <w:p>
      <w:pPr>
        <w:pStyle w:val="BodyText"/>
        <w:rPr/>
      </w:pPr>
      <w:r>
        <w:rPr/>
        <w:t>Specified Products For Norwegian Energy Brokers-AS</w:t>
        <w:br/>
      </w:r>
    </w:p>
    <w:p>
      <w:pPr>
        <w:pStyle w:val="Heading1"/>
        <w:rPr/>
      </w:pPr>
      <w:r>
        <w:rPr/>
        <w:t>Nordic Power</w:t>
      </w:r>
    </w:p>
    <w:p>
      <w:pPr>
        <w:pStyle w:val="Heading1"/>
        <w:rPr/>
      </w:pPr>
      <w:r>
        <w:rPr/>
        <w:t>Nordic Weather</w:t>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2001-10-12T12:29:00Z</dcterms:created>
  <dc:creator>mtaylo1</dc:creator>
  <dc:description/>
  <dc:language>en-CA</dc:language>
  <cp:lastModifiedBy>tjones</cp:lastModifiedBy>
  <cp:lastPrinted>2001-10-10T15:45:00Z</cp:lastPrinted>
  <dcterms:modified xsi:type="dcterms:W3CDTF">2001-10-12T17:08:00Z</dcterms:modified>
  <cp:revision>5</cp:revision>
  <dc:subject/>
  <dc:title/>
</cp:coreProperties>
</file>