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TRANWESTERN PIPELINE COMPANY</w:t>
      </w:r>
    </w:p>
    <w:p>
      <w:pPr>
        <w:pStyle w:val="Heading"/>
        <w:rPr>
          <w:sz w:val="24"/>
        </w:rPr>
      </w:pPr>
      <w:r>
        <w:rPr>
          <w:sz w:val="24"/>
        </w:rPr>
      </w:r>
    </w:p>
    <w:p>
      <w:pPr>
        <w:pStyle w:val="Normal"/>
        <w:jc w:val="center"/>
        <w:rPr>
          <w:b/>
          <w:bCs/>
        </w:rPr>
      </w:pPr>
      <w:r>
        <w:rPr>
          <w:b/>
          <w:bCs/>
        </w:rPr>
        <w:t>INTERNAL PROCEDURES FOR DETERMINING CAPACITY</w:t>
      </w:r>
    </w:p>
    <w:p>
      <w:pPr>
        <w:pStyle w:val="Normal"/>
        <w:jc w:val="center"/>
        <w:rPr>
          <w:b/>
          <w:bCs/>
        </w:rPr>
      </w:pPr>
      <w:r>
        <w:rPr>
          <w:b/>
          <w:bCs/>
        </w:rPr>
        <w:t>AVAILABLE FOR FIRM CONTRACTS</w:t>
      </w:r>
    </w:p>
    <w:p>
      <w:pPr>
        <w:pStyle w:val="Normal"/>
        <w:jc w:val="center"/>
        <w:rPr>
          <w:b/>
          <w:bCs/>
        </w:rPr>
      </w:pPr>
      <w:r>
        <w:rPr>
          <w:b/>
          <w:bCs/>
        </w:rPr>
      </w:r>
    </w:p>
    <w:p>
      <w:pPr>
        <w:pStyle w:val="Normal"/>
        <w:numPr>
          <w:ilvl w:val="0"/>
          <w:numId w:val="2"/>
        </w:numPr>
        <w:ind w:hanging="720" w:start="0" w:end="-720"/>
        <w:jc w:val="both"/>
        <w:rPr>
          <w:b/>
          <w:bCs/>
        </w:rPr>
      </w:pPr>
      <w:r>
        <w:rPr>
          <w:b/>
          <w:bCs/>
        </w:rPr>
        <w:t>Definitions:</w:t>
      </w:r>
    </w:p>
    <w:p>
      <w:pPr>
        <w:pStyle w:val="Normal"/>
        <w:ind w:end="-720"/>
        <w:jc w:val="both"/>
        <w:rPr>
          <w:b/>
          <w:bCs/>
        </w:rPr>
      </w:pPr>
      <w:r>
        <w:rPr>
          <w:b/>
          <w:bCs/>
        </w:rPr>
      </w:r>
    </w:p>
    <w:p>
      <w:pPr>
        <w:pStyle w:val="Normal"/>
        <w:ind w:end="-720"/>
        <w:jc w:val="both"/>
        <w:rPr/>
      </w:pPr>
      <w:r>
        <w:rPr>
          <w:b/>
          <w:bCs/>
          <w:u w:val="single"/>
        </w:rPr>
        <w:t>Certificated/Long-Term Sustainable Capacity</w:t>
      </w:r>
      <w:r>
        <w:rPr>
          <w:b/>
          <w:bCs/>
        </w:rPr>
        <w:t>.</w:t>
      </w:r>
      <w:r>
        <w:rPr/>
        <w:t xml:space="preserve">  The Certificated Capacity is the level of capacity on areas of Transwestern’s system that has been approved by FERC under a 7(c) certificate proceeding (available on a primary firm basis 365 days a year).  On areas of Transwestern’s system that do not have a defined Certificated Capacity, the Long-Term Sustainable Capacity will be the level of capacity Transwestern is willing to commit to on a primary firm basis 365 days a year.</w:t>
      </w:r>
    </w:p>
    <w:p>
      <w:pPr>
        <w:pStyle w:val="Normal"/>
        <w:ind w:end="-720"/>
        <w:jc w:val="both"/>
        <w:rPr/>
      </w:pPr>
      <w:r>
        <w:rPr/>
      </w:r>
    </w:p>
    <w:p>
      <w:pPr>
        <w:pStyle w:val="Normal"/>
        <w:ind w:end="-720"/>
        <w:jc w:val="both"/>
        <w:rPr/>
      </w:pPr>
      <w:r>
        <w:rPr>
          <w:b/>
          <w:bCs/>
          <w:u w:val="single"/>
        </w:rPr>
        <w:t>Operational/Short-Term Sustainable Capacity</w:t>
      </w:r>
      <w:r>
        <w:rPr>
          <w:b/>
          <w:bCs/>
        </w:rPr>
        <w:t>.</w:t>
      </w:r>
      <w:r>
        <w:rPr/>
        <w:t xml:space="preserve">  The Operational/Short-Term Sustainable Capacity is the level of capacity above Certificated/Long-Term Sustainable Capacity that Transwestern is willing to commit to on a firm basis from time-to-time within limitations.  This capacity is determined to be available at certain times based upon the varying operational conditions that occur on the system, on a portion of the system or at a point level.  Operational/Short-Term Sustainable Capacity can vary daily, weekly, monthly or even seasonally based upon system conditions.  Operational/Short-Term Sustainable Capacity that Transwestern is willing to commit to on a firm basis except for up to 10 days within a month may be sold under Transwestern’s LFT Rate Schedule (“LFT Capacity”).  Operational/Short-Term Sustainable Capacity that Transwestern is willing to commit to on a firm basis for only a day at a time may be sold under Transwestern’s FTS-1 Rate Schedule with a term of one day that rolls over unless either party notifies the other of its intent not to rollover the agreement (“Daily Capacity”).</w:t>
      </w:r>
    </w:p>
    <w:p>
      <w:pPr>
        <w:pStyle w:val="Normal"/>
        <w:ind w:end="-720"/>
        <w:jc w:val="both"/>
        <w:rPr/>
      </w:pPr>
      <w:r>
        <w:rPr/>
      </w:r>
    </w:p>
    <w:p>
      <w:pPr>
        <w:pStyle w:val="Normal"/>
        <w:ind w:end="-720"/>
        <w:jc w:val="both"/>
        <w:rPr/>
      </w:pPr>
      <w:r>
        <w:rPr>
          <w:b/>
          <w:bCs/>
          <w:u w:val="single"/>
        </w:rPr>
        <w:t>Operational/Non-Sustainable Capacity.</w:t>
      </w:r>
      <w:r>
        <w:rPr/>
        <w:t xml:space="preserve">  The Operational/Non-Sustainable Capacity is the level of capacity determined to be available at certain times based upon the varying operational conditions that occur on the system, on a portion of the system or at a point level that may be sold under Transwestern’s ITS-1 Rate Schedule.</w:t>
      </w:r>
    </w:p>
    <w:p>
      <w:pPr>
        <w:pStyle w:val="Normal"/>
        <w:ind w:end="-720"/>
        <w:jc w:val="both"/>
        <w:rPr/>
      </w:pPr>
      <w:r>
        <w:rPr/>
      </w:r>
    </w:p>
    <w:p>
      <w:pPr>
        <w:pStyle w:val="BodyTextIndent"/>
        <w:numPr>
          <w:ilvl w:val="0"/>
          <w:numId w:val="2"/>
        </w:numPr>
        <w:rPr>
          <w:b/>
          <w:bCs/>
        </w:rPr>
      </w:pPr>
      <w:r>
        <w:rPr>
          <w:b/>
          <w:bCs/>
        </w:rPr>
        <w:t>Level of Certificated/Long-Term Sustainable Capacity:</w:t>
      </w:r>
    </w:p>
    <w:p>
      <w:pPr>
        <w:pStyle w:val="BodyTextIndent"/>
        <w:ind w:hanging="0" w:start="-720" w:end="-720"/>
        <w:rPr>
          <w:b/>
          <w:bCs/>
        </w:rPr>
      </w:pPr>
      <w:r>
        <w:rPr>
          <w:b/>
          <w:bCs/>
        </w:rPr>
      </w:r>
    </w:p>
    <w:p>
      <w:pPr>
        <w:pStyle w:val="BodyTextIndent"/>
        <w:ind w:hanging="0" w:end="-720"/>
        <w:rPr/>
      </w:pPr>
      <w:r>
        <w:rPr/>
        <w:t>The level of Certificated Capacity where specific FERC approval has been obtained is provided to Facility Planning by Regulatory Affairs.  Facility Planning has the responsibility to determine and establish the level of Long-Term Sustainable Capacity elsewhere on Transwestern’s system where such level has not been specifically defined in a FERC proceeding.  Any change to the level of Certificated Capacity, where the level has been previously approved by FERC, must be approved by FERC.  Any change to the level of Long-Term Sustainable Capacity must be approved by:  V.P. Marketing, V.P. Regulatory Affairs, and Senior Counsel.</w:t>
      </w:r>
    </w:p>
    <w:p>
      <w:pPr>
        <w:pStyle w:val="BodyTextIndent"/>
        <w:ind w:hanging="0" w:end="-720"/>
        <w:rPr/>
      </w:pPr>
      <w:r>
        <w:rPr/>
      </w:r>
    </w:p>
    <w:p>
      <w:pPr>
        <w:pStyle w:val="BodyTextIndent"/>
        <w:numPr>
          <w:ilvl w:val="0"/>
          <w:numId w:val="2"/>
        </w:numPr>
        <w:rPr>
          <w:b/>
          <w:bCs/>
        </w:rPr>
      </w:pPr>
      <w:r>
        <w:rPr>
          <w:b/>
          <w:bCs/>
        </w:rPr>
        <w:t>Level of Operational/Short-Term Sustainable Capacity:</w:t>
      </w:r>
    </w:p>
    <w:p>
      <w:pPr>
        <w:pStyle w:val="BodyTextIndent"/>
        <w:ind w:hanging="0" w:start="-720" w:end="-720"/>
        <w:rPr>
          <w:b/>
          <w:bCs/>
        </w:rPr>
      </w:pPr>
      <w:r>
        <w:rPr>
          <w:b/>
          <w:bCs/>
        </w:rPr>
      </w:r>
    </w:p>
    <w:p>
      <w:pPr>
        <w:pStyle w:val="BodyTextIndent"/>
        <w:ind w:hanging="0" w:end="-720"/>
        <w:rPr/>
      </w:pPr>
      <w:r>
        <w:rPr/>
        <w:t>The level of Operational/Short-Term Sustainable Capacity to be made available will be determined and approved by:  Gas Control and Facility Planning.  The Operational/Short-Term Sustainable Capacity to be marketed will be approved by:  V.P. Marketing.  Notification of such approvals will be provided to:  V.P. Regulatory Affairs and Senior Counsel.  Gas Control and Facility Planning will determine whether it is appropriate to sell the Operational/Short-Term Sustainable Capacity under the LFT or the FTS-1 Rate Schedule.  The capacity will be posted in accordance with the Capacity Posting Procedures.</w:t>
      </w:r>
    </w:p>
    <w:p>
      <w:pPr>
        <w:pStyle w:val="BodyTextIndent"/>
        <w:ind w:hanging="0" w:end="-720"/>
        <w:rPr/>
      </w:pPr>
      <w:r>
        <w:rPr/>
      </w:r>
    </w:p>
    <w:p>
      <w:pPr>
        <w:pStyle w:val="BodyTextIndent"/>
        <w:numPr>
          <w:ilvl w:val="1"/>
          <w:numId w:val="2"/>
        </w:numPr>
        <w:rPr/>
      </w:pPr>
      <w:r>
        <w:rPr>
          <w:b/>
          <w:bCs/>
          <w:u w:val="single"/>
        </w:rPr>
        <w:t>LFT</w:t>
      </w:r>
      <w:r>
        <w:rPr>
          <w:b/>
          <w:bCs/>
        </w:rPr>
        <w:t xml:space="preserve">. </w:t>
      </w:r>
      <w:r>
        <w:rPr/>
        <w:t xml:space="preserve"> If Operational/Short-Term Sustainable Capacity is to be sold under the LFT Rate Schedule, Gas Control will coordinate with Marketing the appropriate number of Limited Days to be agreed upon by Transwestern and Shipper in the LFT Service Agreement (not to exceed 10 days within a month).  An LFT Agreement will be executed between Transwestern and the Shipper for LFT Capacity.  Each morning by 7:00 a.m., Gas Control will determine whether the next gas day will be a Limited Day and if so, what area(s)/point(s) and LFT Agreement(s) will be impacted.  A Limited Day notice will be posted on Transwestern’s website 26 hours before the start of the Gas Day (7:00 a.m. one day before the Gas Day).</w:t>
      </w:r>
    </w:p>
    <w:p>
      <w:pPr>
        <w:pStyle w:val="BodyTextIndent"/>
        <w:ind w:hanging="0" w:end="-720"/>
        <w:rPr/>
      </w:pPr>
      <w:r>
        <w:rPr/>
      </w:r>
    </w:p>
    <w:p>
      <w:pPr>
        <w:pStyle w:val="BodyTextIndent"/>
        <w:numPr>
          <w:ilvl w:val="1"/>
          <w:numId w:val="2"/>
        </w:numPr>
        <w:rPr/>
      </w:pPr>
      <w:r>
        <w:rPr>
          <w:b/>
          <w:bCs/>
          <w:u w:val="single"/>
        </w:rPr>
        <w:t>Daily</w:t>
      </w:r>
      <w:r>
        <w:rPr>
          <w:b/>
          <w:bCs/>
        </w:rPr>
        <w:t>.</w:t>
      </w:r>
      <w:r>
        <w:rPr/>
        <w:t xml:space="preserve">  If Operational/Short-Term Sustainable Capacity is to be sold under the FTS-1 Rate Schedule, an FTS-1 Agreement will be executed between Transwestern and the Shipper for Daily Capacity.  The Agreement will be extended each day that capacity is determined to be available.  On any day that all or a portion of the Daily Capacity is not available, Transwestern will terminate the FTS-1 Agreement(s) for the Daily Capacity for that area(s)/point(s).  Notification of Transwestern’s termination of the Agreement(s) must be made to the Shipper(s) at least 2 ½ hours prior to the Timely Cycle (9:00 a.m. one day before the Gas Day).  To the extent such capacity subsequently becomes available within the time period for which it was originally posted, Transwestern may enter into a new FTS-1 Agreement(s) with the party(s) that had originally contracted for the capacity for the original term (day, month, season).</w:t>
      </w:r>
    </w:p>
    <w:p>
      <w:pPr>
        <w:pStyle w:val="BodyTextIndent"/>
        <w:ind w:hanging="0" w:end="-720"/>
        <w:rPr/>
      </w:pPr>
      <w:r>
        <w:rPr/>
      </w:r>
    </w:p>
    <w:p>
      <w:pPr>
        <w:pStyle w:val="BodyTextIndent"/>
        <w:numPr>
          <w:ilvl w:val="0"/>
          <w:numId w:val="2"/>
        </w:numPr>
        <w:rPr>
          <w:b/>
          <w:bCs/>
        </w:rPr>
      </w:pPr>
      <w:r>
        <w:rPr>
          <w:b/>
          <w:bCs/>
        </w:rPr>
        <w:t>Allocation Process for Certificated/Long-Term Sustainable, Operational/Short-Term Sustainable, and Operational/Non-Sustainable Capacity:</w:t>
      </w:r>
    </w:p>
    <w:p>
      <w:pPr>
        <w:pStyle w:val="BodyTextIndent"/>
        <w:ind w:hanging="0" w:end="-720"/>
        <w:rPr>
          <w:b/>
          <w:bCs/>
        </w:rPr>
      </w:pPr>
      <w:r>
        <w:rPr>
          <w:b/>
          <w:bCs/>
        </w:rPr>
      </w:r>
    </w:p>
    <w:p>
      <w:pPr>
        <w:pStyle w:val="BodyTextIndent"/>
        <w:ind w:hanging="0" w:end="-720"/>
        <w:rPr/>
      </w:pPr>
      <w:r>
        <w:rPr>
          <w:b/>
          <w:bCs/>
          <w:u w:val="single"/>
        </w:rPr>
        <w:t>During Scheduling Process</w:t>
      </w:r>
      <w:r>
        <w:rPr>
          <w:b/>
          <w:bCs/>
        </w:rPr>
        <w:t xml:space="preserve"> – </w:t>
      </w:r>
      <w:r>
        <w:rPr/>
        <w:t>On each day Transwestern will first schedule Primary Firm (including LFT Agreements and FTS-1 Agreements for Daily Capacity), then Alternate Firm and finally Interruptible (by price).  Transwestern will schedule Primary and Alternate Firm up to the combined level of Certificated/Long-Term Sustainable Capacity and Operational/Short-Term Sustainable Capacity.  On days that Operational/Short-Term Sustainable Capacity is not available, notice will be given for a Limited Day and/or for termination of FTS-1 Agreements for Daily Capacity and, therefore, LFT Agreements and/or FTS-1 Agreements for Daily Capacity will not be scheduled.</w:t>
      </w:r>
    </w:p>
    <w:p>
      <w:pPr>
        <w:pStyle w:val="BodyTextIndent"/>
        <w:ind w:hanging="0" w:end="-720"/>
        <w:rPr/>
      </w:pPr>
      <w:r>
        <w:rPr/>
      </w:r>
    </w:p>
    <w:p>
      <w:pPr>
        <w:pStyle w:val="BodyTextIndent"/>
        <w:ind w:hanging="0" w:end="-720"/>
        <w:rPr/>
      </w:pPr>
      <w:r>
        <w:rPr>
          <w:b/>
          <w:bCs/>
          <w:u w:val="single"/>
        </w:rPr>
        <w:t>During Curtailment Process</w:t>
      </w:r>
      <w:r>
        <w:rPr/>
        <w:t xml:space="preserve"> – (after gas is scheduled).  In the event of curtailment, Transwestern shall first cut Interruptible (by price) followed by Alternate Firm and Primary Firm together (including LFT Agreements and FTS-1 Agreements for Daily Capacity) on a prorata basis.</w:t>
      </w:r>
      <w:r>
        <w:br w:type="page"/>
      </w:r>
    </w:p>
    <w:p>
      <w:pPr>
        <w:pStyle w:val="BodyTextIndent"/>
        <w:ind w:hanging="0" w:start="-720" w:end="-720"/>
        <w:jc w:val="center"/>
        <w:rPr>
          <w:b/>
          <w:bCs/>
        </w:rPr>
      </w:pPr>
      <w:r>
        <w:rPr>
          <w:b/>
          <w:bCs/>
        </w:rPr>
        <w:t>TRANSWESTERN PIPELINE COMPANY</w:t>
      </w:r>
    </w:p>
    <w:p>
      <w:pPr>
        <w:pStyle w:val="BodyTextIndent"/>
        <w:ind w:hanging="0" w:start="-720" w:end="-720"/>
        <w:jc w:val="center"/>
        <w:rPr>
          <w:b/>
          <w:bCs/>
        </w:rPr>
      </w:pPr>
      <w:r>
        <w:rPr>
          <w:b/>
          <w:bCs/>
        </w:rPr>
        <w:t>FIRM CAPACITY APPROVAL FORM</w:t>
      </w:r>
    </w:p>
    <w:p>
      <w:pPr>
        <w:pStyle w:val="BodyTextIndent"/>
        <w:ind w:hanging="0" w:start="-720" w:end="-720"/>
        <w:jc w:val="center"/>
        <w:rPr>
          <w:b/>
          <w:bCs/>
          <w:sz w:val="28"/>
        </w:rPr>
      </w:pPr>
      <w:r>
        <w:rPr>
          <w:b/>
          <w:bCs/>
          <w:sz w:val="28"/>
        </w:rPr>
        <w:t xml:space="preserve"> </w:t>
      </w:r>
    </w:p>
    <w:p>
      <w:pPr>
        <w:pStyle w:val="BodyTextIndent"/>
        <w:pBdr>
          <w:top w:val="single" w:sz="4" w:space="1" w:color="000000"/>
          <w:left w:val="single" w:sz="4" w:space="4" w:color="000000"/>
          <w:bottom w:val="single" w:sz="4" w:space="1" w:color="000000"/>
          <w:right w:val="single" w:sz="4" w:space="4" w:color="000000"/>
        </w:pBdr>
        <w:ind w:hanging="0" w:start="-720" w:end="-720"/>
        <w:rPr>
          <w:b/>
          <w:bCs/>
          <w:u w:val="single"/>
        </w:rPr>
      </w:pPr>
      <w:r>
        <w:rPr>
          <w:b/>
          <w:bCs/>
          <w:u w:val="single"/>
        </w:rPr>
        <w:t>Operational/Short-Term Sustainable Capacity</w:t>
      </w:r>
    </w:p>
    <w:p>
      <w:pPr>
        <w:pStyle w:val="BodyTextIndent"/>
        <w:pBdr>
          <w:top w:val="single" w:sz="4" w:space="1" w:color="000000"/>
          <w:left w:val="single" w:sz="4" w:space="4" w:color="000000"/>
          <w:bottom w:val="single" w:sz="4" w:space="1" w:color="000000"/>
          <w:right w:val="single" w:sz="4" w:space="4" w:color="000000"/>
        </w:pBdr>
        <w:ind w:hanging="0" w:start="-720" w:end="-720"/>
        <w:rPr>
          <w:b/>
          <w:bCs/>
          <w:u w:val="single"/>
        </w:rPr>
      </w:pPr>
      <w:r>
        <w:rPr>
          <w:b/>
          <w:bCs/>
          <w:u w:val="single"/>
        </w:rPr>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b/>
          <w:bCs/>
        </w:rPr>
        <w:tab/>
      </w:r>
      <w:r>
        <w:rPr/>
        <w:t>Location</w:t>
        <w:tab/>
        <w:tab/>
        <w:t>________________________________________________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tab/>
        <w:t>Quantity</w:t>
        <w:tab/>
        <w:tab/>
        <w:t>________________________________________________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tab/>
        <w:t>Start/End Date</w:t>
        <w:tab/>
        <w:tab/>
        <w:t>________________________________________________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tab/>
        <w:t>LFT or Daily</w:t>
        <w:tab/>
        <w:tab/>
        <w:t>________________________________________________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tab/>
        <w:t>Reason</w:t>
        <w:tab/>
        <w:tab/>
        <w:tab/>
        <w:t>________________________________________________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tab/>
        <w:t>APPROVALS*:</w:t>
        <w:tab/>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tab/>
        <w:tab/>
        <w:tab/>
        <w:t>Gas Control</w:t>
        <w:tab/>
        <w:tab/>
        <w:t>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tab/>
        <w:tab/>
        <w:tab/>
        <w:t>Facility Planning</w:t>
        <w:tab/>
        <w:t>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tab/>
        <w:tab/>
        <w:tab/>
        <w:t>V.P. Marketing</w:t>
        <w:tab/>
        <w:t>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b/>
          <w:bCs/>
        </w:rPr>
        <w:tab/>
        <w:tab/>
      </w:r>
      <w:r>
        <w:rPr>
          <w:i/>
          <w:iCs/>
        </w:rPr>
        <w:t>*Notify:  Reg. Affairs and Senior Counsel</w:t>
      </w:r>
    </w:p>
    <w:p>
      <w:pPr>
        <w:pStyle w:val="BodyTextIndent"/>
        <w:ind w:hanging="0" w:start="-720" w:end="-720"/>
        <w:rPr>
          <w:i/>
          <w:i/>
          <w:iCs/>
        </w:rPr>
      </w:pPr>
      <w:r>
        <w:rPr>
          <w:i/>
          <w:iCs/>
        </w:rPr>
      </w:r>
    </w:p>
    <w:p>
      <w:pPr>
        <w:pStyle w:val="BodyTextIndent"/>
        <w:pBdr>
          <w:top w:val="single" w:sz="4" w:space="1" w:color="000000"/>
          <w:left w:val="single" w:sz="4" w:space="4" w:color="000000"/>
          <w:bottom w:val="single" w:sz="4" w:space="1" w:color="000000"/>
          <w:right w:val="single" w:sz="4" w:space="4" w:color="000000"/>
        </w:pBdr>
        <w:ind w:hanging="0" w:start="-720" w:end="-720"/>
        <w:rPr>
          <w:b/>
          <w:bCs/>
          <w:u w:val="single"/>
        </w:rPr>
      </w:pPr>
      <w:r>
        <w:rPr>
          <w:b/>
          <w:bCs/>
          <w:u w:val="single"/>
        </w:rPr>
        <w:t>Long-Term Sustainable Capacity</w:t>
      </w:r>
    </w:p>
    <w:p>
      <w:pPr>
        <w:pStyle w:val="BodyTextIndent"/>
        <w:pBdr>
          <w:top w:val="single" w:sz="4" w:space="1" w:color="000000"/>
          <w:left w:val="single" w:sz="4" w:space="4" w:color="000000"/>
          <w:bottom w:val="single" w:sz="4" w:space="1" w:color="000000"/>
          <w:right w:val="single" w:sz="4" w:space="4" w:color="000000"/>
        </w:pBdr>
        <w:ind w:hanging="0" w:start="-720" w:end="-720"/>
        <w:rPr>
          <w:b/>
          <w:bCs/>
          <w:sz w:val="28"/>
          <w:u w:val="single"/>
        </w:rPr>
      </w:pPr>
      <w:r>
        <w:rPr>
          <w:b/>
          <w:bCs/>
          <w:sz w:val="28"/>
          <w:u w:val="single"/>
        </w:rPr>
      </w:r>
    </w:p>
    <w:p>
      <w:pPr>
        <w:pStyle w:val="BodyTextIndent"/>
        <w:pBdr>
          <w:top w:val="single" w:sz="4" w:space="1" w:color="000000"/>
          <w:left w:val="single" w:sz="4" w:space="4" w:color="000000"/>
          <w:bottom w:val="single" w:sz="4" w:space="1" w:color="000000"/>
          <w:right w:val="single" w:sz="4" w:space="4" w:color="000000"/>
        </w:pBdr>
        <w:ind w:firstLine="720" w:start="-720" w:end="-720"/>
        <w:rPr/>
      </w:pPr>
      <w:r>
        <w:rPr/>
        <w:t>Location</w:t>
        <w:tab/>
        <w:tab/>
        <w:t>________________________________________________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tab/>
        <w:t>Quantity</w:t>
        <w:tab/>
        <w:tab/>
        <w:t>________________________________________________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tab/>
        <w:t>Effective Date</w:t>
        <w:tab/>
        <w:tab/>
        <w:t>________________________________________________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r>
    </w:p>
    <w:p>
      <w:pPr>
        <w:pStyle w:val="BodyTextIndent"/>
        <w:pBdr>
          <w:top w:val="single" w:sz="4" w:space="1" w:color="000000"/>
          <w:left w:val="single" w:sz="4" w:space="4" w:color="000000"/>
          <w:bottom w:val="single" w:sz="4" w:space="1" w:color="000000"/>
          <w:right w:val="single" w:sz="4" w:space="4" w:color="000000"/>
        </w:pBdr>
        <w:ind w:hanging="0" w:start="-720" w:end="-720"/>
        <w:rPr/>
      </w:pPr>
      <w:r>
        <w:rPr/>
        <w:tab/>
        <w:t>Reason</w:t>
        <w:tab/>
        <w:tab/>
        <w:tab/>
        <w:t>________________________________________________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tab/>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tab/>
        <w:t>APPROVALS:</w:t>
        <w:tab/>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tab/>
        <w:tab/>
        <w:tab/>
        <w:t>Gas Control</w:t>
        <w:tab/>
        <w:tab/>
        <w:t>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tab/>
        <w:tab/>
        <w:tab/>
        <w:t>Facility Planning</w:t>
        <w:tab/>
        <w:t>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tab/>
        <w:tab/>
        <w:tab/>
        <w:t>V.P. Marketing</w:t>
        <w:tab/>
        <w:t>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tab/>
        <w:tab/>
        <w:tab/>
        <w:t>V.P. Reg. Affairs</w:t>
        <w:tab/>
        <w:t>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tab/>
        <w:tab/>
        <w:tab/>
        <w:t>Senior Counsel</w:t>
        <w:tab/>
        <w:t>____________________________________</w:t>
      </w:r>
    </w:p>
    <w:p>
      <w:pPr>
        <w:pStyle w:val="BodyTextIndent"/>
        <w:pBdr>
          <w:top w:val="single" w:sz="4" w:space="1" w:color="000000"/>
          <w:left w:val="single" w:sz="4" w:space="4" w:color="000000"/>
          <w:bottom w:val="single" w:sz="4" w:space="1" w:color="000000"/>
          <w:right w:val="single" w:sz="4" w:space="4" w:color="000000"/>
        </w:pBdr>
        <w:ind w:hanging="0" w:start="-720" w:end="-720"/>
        <w:rPr>
          <w:b/>
          <w:bCs/>
        </w:rPr>
      </w:pPr>
      <w:r>
        <w:rPr>
          <w:b/>
          <w:bCs/>
        </w:rPr>
      </w:r>
    </w:p>
    <w:sectPr>
      <w:headerReference w:type="default" r:id="rId2"/>
      <w:footerReference w:type="default" r:id="rId3"/>
      <w:type w:val="nextPage"/>
      <w:pgSz w:w="12240" w:h="15840"/>
      <w:pgMar w:left="1800" w:right="1800"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i/>
        <w:iCs/>
        <w:sz w:val="16"/>
      </w:rPr>
      <w:fldChar w:fldCharType="begin"/>
    </w:r>
    <w:r>
      <w:rPr>
        <w:sz w:val="16"/>
        <w:i/>
        <w:iCs/>
      </w:rPr>
      <w:instrText xml:space="preserve"> FILENAME \p </w:instrText>
    </w:r>
    <w:r>
      <w:rPr>
        <w:sz w:val="16"/>
        <w:i/>
        <w:iCs/>
      </w:rPr>
      <w:fldChar w:fldCharType="separate"/>
    </w:r>
    <w:r>
      <w:rPr>
        <w:sz w:val="16"/>
        <w:i/>
        <w:iCs/>
      </w:rPr>
      <w:t>/mnt/main-storage/datasets/enron-docs/doc/firmavailcap.doc</w:t>
    </w:r>
    <w:r>
      <w:rPr>
        <w:sz w:val="16"/>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720"/>
      </w:pPr>
      <w:rPr/>
    </w:lvl>
    <w:lvl w:ilvl="1">
      <w:start w:val="1"/>
      <w:numFmt w:val="lowerLetter"/>
      <w:lvlText w:val="%2."/>
      <w:lvlJc w:val="start"/>
      <w:pPr>
        <w:tabs>
          <w:tab w:val="num" w:pos="720"/>
        </w:tabs>
        <w:ind w:start="720" w:hanging="720"/>
      </w:pPr>
      <w:rPr/>
    </w:lvl>
    <w:lvl w:ilvl="2">
      <w:start w:val="1"/>
      <w:numFmt w:val="lowerRoman"/>
      <w:lvlText w:val="%3."/>
      <w:lvlJc w:val="end"/>
      <w:pPr>
        <w:tabs>
          <w:tab w:val="num" w:pos="1080"/>
        </w:tabs>
        <w:ind w:start="1080" w:hanging="180"/>
      </w:pPr>
    </w:lvl>
    <w:lvl w:ilvl="3">
      <w:start w:val="1"/>
      <w:numFmt w:val="decimal"/>
      <w:lvlText w:val="%4."/>
      <w:lvlJc w:val="start"/>
      <w:pPr>
        <w:tabs>
          <w:tab w:val="num" w:pos="1800"/>
        </w:tabs>
        <w:ind w:start="1800" w:hanging="360"/>
      </w:pPr>
    </w:lvl>
    <w:lvl w:ilvl="4">
      <w:start w:val="1"/>
      <w:numFmt w:val="lowerLetter"/>
      <w:lvlText w:val="%5."/>
      <w:lvlJc w:val="start"/>
      <w:pPr>
        <w:tabs>
          <w:tab w:val="num" w:pos="2520"/>
        </w:tabs>
        <w:ind w:start="2520" w:hanging="360"/>
      </w:pPr>
    </w:lvl>
    <w:lvl w:ilvl="5">
      <w:start w:val="1"/>
      <w:numFmt w:val="lowerRoman"/>
      <w:lvlText w:val="%6."/>
      <w:lvlJc w:val="end"/>
      <w:pPr>
        <w:tabs>
          <w:tab w:val="num" w:pos="3240"/>
        </w:tabs>
        <w:ind w:start="3240" w:hanging="180"/>
      </w:pPr>
    </w:lvl>
    <w:lvl w:ilvl="6">
      <w:start w:val="1"/>
      <w:numFmt w:val="decimal"/>
      <w:lvlText w:val="%7."/>
      <w:lvlJc w:val="start"/>
      <w:pPr>
        <w:tabs>
          <w:tab w:val="num" w:pos="3960"/>
        </w:tabs>
        <w:ind w:start="3960" w:hanging="360"/>
      </w:pPr>
    </w:lvl>
    <w:lvl w:ilvl="7">
      <w:start w:val="1"/>
      <w:numFmt w:val="lowerLetter"/>
      <w:lvlText w:val="%8."/>
      <w:lvlJc w:val="start"/>
      <w:pPr>
        <w:tabs>
          <w:tab w:val="num" w:pos="4680"/>
        </w:tabs>
        <w:ind w:start="4680" w:hanging="360"/>
      </w:pPr>
    </w:lvl>
    <w:lvl w:ilvl="8">
      <w:start w:val="1"/>
      <w:numFmt w:val="lowerRoman"/>
      <w:lvlText w:val="%9."/>
      <w:lvlJc w:val="end"/>
      <w:pPr>
        <w:tabs>
          <w:tab w:val="num" w:pos="5400"/>
        </w:tabs>
        <w:ind w:start="5400" w:hanging="18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0"/>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36"/>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2001-05-31T18:43:00Z</dcterms:created>
  <dc:creator>ldonoho</dc:creator>
  <dc:description/>
  <dc:language>en-CA</dc:language>
  <cp:lastModifiedBy>ldonoho</cp:lastModifiedBy>
  <cp:lastPrinted>2001-06-27T10:51:00Z</cp:lastPrinted>
  <dcterms:modified xsi:type="dcterms:W3CDTF">2001-08-06T10:54:00Z</dcterms:modified>
  <cp:revision>57</cp:revision>
  <dc:subject/>
  <dc:title>D R A F T</dc:title>
</cp:coreProperties>
</file>