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r>
    </w:p>
    <w:p>
      <w:pPr>
        <w:pStyle w:val="Normal"/>
        <w:rPr>
          <w:b/>
          <w:color w:val="FF0000"/>
          <w:sz w:val="24"/>
        </w:rPr>
      </w:pPr>
      <w:r>
        <w:rPr>
          <w:b/>
          <w:sz w:val="24"/>
        </w:rPr>
        <w:t>Issues with respect to sale of firm power to a third party:</w:t>
      </w:r>
    </w:p>
    <w:p>
      <w:pPr>
        <w:pStyle w:val="Normal"/>
        <w:rPr>
          <w:b/>
          <w:color w:val="FF0000"/>
          <w:sz w:val="24"/>
        </w:rPr>
      </w:pPr>
      <w:r>
        <w:rPr>
          <w:b/>
          <w:color w:val="FF0000"/>
          <w:sz w:val="24"/>
        </w:rPr>
      </w:r>
    </w:p>
    <w:p>
      <w:pPr>
        <w:pStyle w:val="Heading1"/>
        <w:numPr>
          <w:ilvl w:val="0"/>
          <w:numId w:val="7"/>
        </w:numPr>
        <w:rPr/>
      </w:pPr>
      <w:r>
        <w:rPr/>
        <w:t xml:space="preserve">Should sale of firm power be split up into two: peak period &amp; monsoon period </w:t>
      </w:r>
    </w:p>
    <w:p>
      <w:pPr>
        <w:pStyle w:val="BodyTextIndent"/>
        <w:rPr/>
      </w:pPr>
      <w:r>
        <w:rPr/>
        <w:br/>
      </w:r>
      <w:r>
        <w:rPr>
          <w:sz w:val="24"/>
        </w:rPr>
        <w:t>I feel our thinking as to be on that basis, and we have to structure it such too.  Then we can look into designing a user interface that consolidates these two.  I believe that this user interface will be difficult to come up with, but we should attempt it.</w:t>
      </w:r>
    </w:p>
    <w:p>
      <w:pPr>
        <w:pStyle w:val="Normal"/>
        <w:ind w:start="360" w:end="0"/>
        <w:rPr>
          <w:b/>
          <w:color w:val="FF0000"/>
          <w:sz w:val="24"/>
        </w:rPr>
      </w:pPr>
      <w:r>
        <w:rPr>
          <w:b/>
          <w:color w:val="FF0000"/>
          <w:sz w:val="24"/>
        </w:rPr>
      </w:r>
    </w:p>
    <w:p>
      <w:pPr>
        <w:pStyle w:val="Normal"/>
        <w:ind w:start="360" w:end="0"/>
        <w:rPr>
          <w:b/>
          <w:color w:val="FF0000"/>
          <w:sz w:val="24"/>
        </w:rPr>
      </w:pPr>
      <w:r>
        <w:rPr>
          <w:b/>
          <w:color w:val="FF0000"/>
          <w:sz w:val="24"/>
        </w:rPr>
        <w:t>For now, however, think of this as two different products with different pricing.</w:t>
      </w:r>
    </w:p>
    <w:p>
      <w:pPr>
        <w:pStyle w:val="Normal"/>
        <w:rPr>
          <w:b/>
          <w:color w:val="FF0000"/>
          <w:sz w:val="24"/>
        </w:rPr>
      </w:pPr>
      <w:r>
        <w:rPr>
          <w:b/>
          <w:color w:val="FF0000"/>
          <w:sz w:val="24"/>
        </w:rPr>
      </w:r>
    </w:p>
    <w:p>
      <w:pPr>
        <w:pStyle w:val="Normal"/>
        <w:numPr>
          <w:ilvl w:val="0"/>
          <w:numId w:val="7"/>
        </w:numPr>
        <w:rPr>
          <w:sz w:val="24"/>
        </w:rPr>
      </w:pPr>
      <w:r>
        <w:rPr>
          <w:sz w:val="24"/>
        </w:rPr>
        <w:t>If so, the tariffs chargeable to the third party may have to be different for monsoon &amp; peak period. Would MSEB be agreeable to this?</w:t>
        <w:br/>
        <w:br/>
      </w:r>
      <w:r>
        <w:rPr>
          <w:b/>
          <w:color w:val="FF0000"/>
          <w:sz w:val="24"/>
        </w:rPr>
        <w:t xml:space="preserve">I believe this will have to be sold to MSEB.  This is the most critical thing to sell.  What we are saying is that the best we can do during monsoons is going to be lower than the peak season.  In a convoluted way what we are also saying that on an averaged out basis, the market price for power is lower currently than the Dabhol PPA.  </w:t>
        <w:br/>
        <w:br/>
        <w:t>However, our argument would be that this is transitory, and that we would be pricing the power higher when the market becomes tighter.  In order to do this, we should explore the possibility of price openers in say 2 years.  In other words, our margin should increase once we change fuel to LNG.  By doing this we should be competitive, definitely with respect to other liquid fuel plants.</w:t>
        <w:br/>
        <w:br/>
        <w:t>This will require some structuring of the deal.</w:t>
      </w:r>
    </w:p>
    <w:p>
      <w:pPr>
        <w:pStyle w:val="Normal"/>
        <w:rPr>
          <w:sz w:val="24"/>
        </w:rPr>
      </w:pPr>
      <w:r>
        <w:rPr>
          <w:sz w:val="24"/>
        </w:rPr>
      </w:r>
    </w:p>
    <w:p>
      <w:pPr>
        <w:pStyle w:val="BodyText"/>
        <w:rPr/>
      </w:pPr>
      <w:r>
        <w:rPr/>
        <w:t>While tariff chargeable to the Third Party during monsoon months could be lower than the PPA tariff, tariff chargeable during peak months would have to be atleast as much as the PPA tariff.</w:t>
      </w:r>
      <w:r>
        <w:rPr>
          <w:b/>
          <w:color w:val="FF0000"/>
        </w:rPr>
        <w:br/>
        <w:br/>
        <w:t>I agree.  Also, keep in mind the stepped tariff concept talked of above.</w:t>
      </w:r>
    </w:p>
    <w:p>
      <w:pPr>
        <w:pStyle w:val="Normal"/>
        <w:rPr>
          <w:b/>
          <w:color w:val="FF0000"/>
          <w:sz w:val="24"/>
        </w:rPr>
      </w:pPr>
      <w:r>
        <w:rPr>
          <w:b/>
          <w:color w:val="FF0000"/>
          <w:sz w:val="24"/>
        </w:rPr>
      </w:r>
    </w:p>
    <w:p>
      <w:pPr>
        <w:pStyle w:val="Normal"/>
        <w:numPr>
          <w:ilvl w:val="0"/>
          <w:numId w:val="7"/>
        </w:numPr>
        <w:rPr>
          <w:sz w:val="24"/>
        </w:rPr>
      </w:pPr>
      <w:r>
        <w:rPr>
          <w:sz w:val="24"/>
        </w:rPr>
        <w:t>Point of sale of power: DPC’s busbar/plant boundary</w:t>
      </w:r>
    </w:p>
    <w:p>
      <w:pPr>
        <w:pStyle w:val="Normal"/>
        <w:rPr/>
      </w:pPr>
      <w:r>
        <w:rPr>
          <w:sz w:val="24"/>
        </w:rPr>
        <w:t xml:space="preserve"> </w:t>
      </w:r>
      <w:r>
        <w:rPr>
          <w:b/>
          <w:color w:val="FF0000"/>
          <w:sz w:val="24"/>
        </w:rPr>
        <w:br/>
        <w:t>I agree, but your analysis should also include what the t/l charges would be and how much money would go to MSEB on that.</w:t>
        <w:br/>
      </w:r>
    </w:p>
    <w:p>
      <w:pPr>
        <w:pStyle w:val="Normal"/>
        <w:numPr>
          <w:ilvl w:val="0"/>
          <w:numId w:val="7"/>
        </w:numPr>
        <w:rPr>
          <w:sz w:val="24"/>
        </w:rPr>
      </w:pPr>
      <w:r>
        <w:rPr>
          <w:sz w:val="24"/>
        </w:rPr>
        <w:t xml:space="preserve">With regards to the sale of power to the third party, transmission charges would also be applicable. </w:t>
        <w:br/>
        <w:br/>
      </w:r>
      <w:r>
        <w:rPr>
          <w:b/>
          <w:color w:val="FF0000"/>
          <w:sz w:val="24"/>
        </w:rPr>
        <w:t>I agree.  See comment on point 3 above.</w:t>
        <w:br/>
        <w:br/>
        <w:br/>
      </w:r>
    </w:p>
    <w:p>
      <w:pPr>
        <w:pStyle w:val="Normal"/>
        <w:rPr>
          <w:sz w:val="24"/>
        </w:rPr>
      </w:pPr>
      <w:r>
        <w:rPr>
          <w:sz w:val="24"/>
        </w:rPr>
        <w:t>Possible scenarios:</w:t>
      </w:r>
    </w:p>
    <w:p>
      <w:pPr>
        <w:pStyle w:val="Normal"/>
        <w:rPr/>
      </w:pPr>
      <w:r>
        <w:rPr>
          <w:sz w:val="24"/>
          <w:u w:val="single"/>
        </w:rPr>
        <w:t>Sale of power to Karnataka</w:t>
      </w:r>
      <w:r>
        <w:rPr>
          <w:sz w:val="24"/>
        </w:rPr>
        <w:t>: Transmission of power in this case would be only through MSEB lines &amp; no PGCIL lines would be involved. Would MSEB be willing to forego the transmission/wheeling charges if the sale is being made to Karnataka?</w:t>
      </w:r>
    </w:p>
    <w:p>
      <w:pPr>
        <w:pStyle w:val="Normal"/>
        <w:rPr>
          <w:sz w:val="24"/>
        </w:rPr>
      </w:pPr>
      <w:r>
        <w:rPr>
          <w:sz w:val="24"/>
        </w:rPr>
      </w:r>
    </w:p>
    <w:p>
      <w:pPr>
        <w:pStyle w:val="BodyText2"/>
        <w:rPr/>
      </w:pPr>
      <w:r>
        <w:rPr/>
        <w:t>Not at first pass.  Lets see where the nos. fall out, and where we are able to strike the deal.  For now include t/l charges as a figure that MSEB will make.</w:t>
      </w:r>
    </w:p>
    <w:p>
      <w:pPr>
        <w:pStyle w:val="Normal"/>
        <w:rPr>
          <w:sz w:val="24"/>
        </w:rPr>
      </w:pPr>
      <w:r>
        <w:rPr>
          <w:sz w:val="24"/>
        </w:rPr>
      </w:r>
    </w:p>
    <w:p>
      <w:pPr>
        <w:pStyle w:val="Normal"/>
        <w:rPr/>
      </w:pPr>
      <w:r>
        <w:rPr>
          <w:sz w:val="24"/>
          <w:u w:val="single"/>
        </w:rPr>
        <w:t>Sale of power to A.P</w:t>
      </w:r>
      <w:r>
        <w:rPr>
          <w:sz w:val="24"/>
        </w:rPr>
        <w:t>: Transmission of power in this case would involve MSEB lines as well as PGCIL lines. There is absolutely no likelihood of PGCIL foregoing its transmission charges. However, the link up with AP is a HVDC link up and is amenable to proper regulation.</w:t>
      </w:r>
    </w:p>
    <w:p>
      <w:pPr>
        <w:pStyle w:val="Normal"/>
        <w:rPr>
          <w:sz w:val="24"/>
        </w:rPr>
      </w:pPr>
      <w:r>
        <w:rPr>
          <w:sz w:val="24"/>
        </w:rPr>
      </w:r>
    </w:p>
    <w:p>
      <w:pPr>
        <w:pStyle w:val="Normal"/>
        <w:rPr>
          <w:b/>
          <w:color w:val="FF0000"/>
          <w:sz w:val="24"/>
        </w:rPr>
      </w:pPr>
      <w:r>
        <w:rPr>
          <w:b/>
          <w:color w:val="FF0000"/>
          <w:sz w:val="24"/>
        </w:rPr>
        <w:t xml:space="preserve">There maybe some possibility of PGCIL foregoing the tariff for the small Ramagundam to Bhadravati link, especially if we approach them separately for the monsoon deal (i.e. saying it is infirm).  There is a precedent for that in the form of Gujarat to TN sales at some points in time in the year.  Find out more from WREB. </w:t>
      </w:r>
    </w:p>
    <w:p>
      <w:pPr>
        <w:pStyle w:val="Normal"/>
        <w:rPr>
          <w:b/>
          <w:color w:val="FF0000"/>
          <w:sz w:val="24"/>
        </w:rPr>
      </w:pPr>
      <w:r>
        <w:rPr>
          <w:b/>
          <w:color w:val="FF0000"/>
          <w:sz w:val="24"/>
        </w:rPr>
      </w:r>
    </w:p>
    <w:p>
      <w:pPr>
        <w:pStyle w:val="Normal"/>
        <w:rPr/>
      </w:pPr>
      <w:r>
        <w:rPr>
          <w:sz w:val="24"/>
          <w:u w:val="single"/>
        </w:rPr>
        <w:t>Sale of power to Rajasthan</w:t>
      </w:r>
      <w:r>
        <w:rPr>
          <w:sz w:val="24"/>
        </w:rPr>
        <w:t xml:space="preserve">: No. of intermediaries would be involved </w:t>
      </w:r>
    </w:p>
    <w:p>
      <w:pPr>
        <w:pStyle w:val="Normal"/>
        <w:rPr>
          <w:sz w:val="24"/>
        </w:rPr>
      </w:pPr>
      <w:r>
        <w:rPr>
          <w:sz w:val="24"/>
        </w:rPr>
      </w:r>
    </w:p>
    <w:p>
      <w:pPr>
        <w:pStyle w:val="BodyText2"/>
        <w:rPr/>
      </w:pPr>
      <w:r>
        <w:rPr/>
        <w:t>In this case we would have to involve, WREB, NREB, as well as PGCIL.  This is what will jack up the price for transmission.</w:t>
      </w:r>
    </w:p>
    <w:p>
      <w:pPr>
        <w:pStyle w:val="Normal"/>
        <w:rPr>
          <w:sz w:val="24"/>
        </w:rPr>
      </w:pPr>
      <w:r>
        <w:rPr>
          <w:sz w:val="24"/>
        </w:rPr>
      </w:r>
    </w:p>
    <w:p>
      <w:pPr>
        <w:pStyle w:val="Normal"/>
        <w:numPr>
          <w:ilvl w:val="0"/>
          <w:numId w:val="7"/>
        </w:numPr>
        <w:rPr>
          <w:sz w:val="24"/>
        </w:rPr>
      </w:pPr>
      <w:r>
        <w:rPr>
          <w:sz w:val="24"/>
        </w:rPr>
        <w:t>Issue of despatch priority (between MSEB &amp; third party), during periods of partial availability of power from DPC. Any of the following options to be adopted:</w:t>
      </w:r>
    </w:p>
    <w:p>
      <w:pPr>
        <w:pStyle w:val="Normal"/>
        <w:numPr>
          <w:ilvl w:val="0"/>
          <w:numId w:val="8"/>
        </w:numPr>
        <w:tabs>
          <w:tab w:val="left" w:pos="720" w:leader="none"/>
        </w:tabs>
        <w:ind w:hanging="360" w:start="720" w:end="0"/>
        <w:rPr>
          <w:sz w:val="24"/>
        </w:rPr>
      </w:pPr>
      <w:r>
        <w:rPr>
          <w:sz w:val="24"/>
        </w:rPr>
        <w:t>Despatch to be prorated to MSEB and third party in the proportion in which they have contracted power</w:t>
      </w:r>
    </w:p>
    <w:p>
      <w:pPr>
        <w:pStyle w:val="Normal"/>
        <w:numPr>
          <w:ilvl w:val="0"/>
          <w:numId w:val="5"/>
        </w:numPr>
        <w:tabs>
          <w:tab w:val="left" w:pos="720" w:leader="none"/>
        </w:tabs>
        <w:ind w:hanging="360" w:start="720" w:end="0"/>
        <w:rPr>
          <w:sz w:val="24"/>
        </w:rPr>
      </w:pPr>
      <w:r>
        <w:rPr>
          <w:sz w:val="24"/>
        </w:rPr>
        <w:t>Initial despatch to third party and subsequently to MSEB</w:t>
      </w:r>
    </w:p>
    <w:p>
      <w:pPr>
        <w:pStyle w:val="Normal"/>
        <w:numPr>
          <w:ilvl w:val="0"/>
          <w:numId w:val="5"/>
        </w:numPr>
        <w:tabs>
          <w:tab w:val="left" w:pos="720" w:leader="none"/>
        </w:tabs>
        <w:ind w:hanging="360" w:start="720" w:end="0"/>
        <w:rPr>
          <w:sz w:val="24"/>
        </w:rPr>
      </w:pPr>
      <w:r>
        <w:rPr>
          <w:sz w:val="24"/>
        </w:rPr>
        <w:t>Initial despatch to MSEB and subsequently to third party</w:t>
      </w:r>
    </w:p>
    <w:p>
      <w:pPr>
        <w:pStyle w:val="Normal"/>
        <w:rPr>
          <w:sz w:val="24"/>
        </w:rPr>
      </w:pPr>
      <w:r>
        <w:rPr>
          <w:sz w:val="24"/>
        </w:rPr>
      </w:r>
    </w:p>
    <w:p>
      <w:pPr>
        <w:pStyle w:val="Normal"/>
        <w:rPr>
          <w:b/>
          <w:color w:val="FF0000"/>
          <w:sz w:val="24"/>
        </w:rPr>
      </w:pPr>
      <w:r>
        <w:rPr>
          <w:b/>
          <w:color w:val="FF0000"/>
          <w:sz w:val="24"/>
        </w:rPr>
        <w:t>We must leave this to the discretion of DPC.  DPC will make the availability declarations and live by the consequences of the same (penalties or bonus).  No need to put priority issues in the termsheet.  By its very nature, DPC will give a higer priority to MSEB due to the penalty structure.  This need not be explicitly stated.</w:t>
      </w:r>
    </w:p>
    <w:p>
      <w:pPr>
        <w:pStyle w:val="Normal"/>
        <w:rPr>
          <w:b/>
          <w:color w:val="FF0000"/>
          <w:sz w:val="24"/>
        </w:rPr>
      </w:pPr>
      <w:r>
        <w:rPr>
          <w:b/>
          <w:color w:val="FF0000"/>
          <w:sz w:val="24"/>
        </w:rPr>
      </w:r>
    </w:p>
    <w:p>
      <w:pPr>
        <w:pStyle w:val="Normal"/>
        <w:numPr>
          <w:ilvl w:val="0"/>
          <w:numId w:val="7"/>
        </w:numPr>
        <w:rPr>
          <w:sz w:val="24"/>
        </w:rPr>
      </w:pPr>
      <w:r>
        <w:rPr>
          <w:sz w:val="24"/>
        </w:rPr>
        <w:t>Despatch Procedures: Will be a function of 5.</w:t>
      </w:r>
    </w:p>
    <w:p>
      <w:pPr>
        <w:pStyle w:val="Normal"/>
        <w:rPr>
          <w:sz w:val="24"/>
        </w:rPr>
      </w:pPr>
      <w:r>
        <w:rPr>
          <w:sz w:val="24"/>
        </w:rPr>
      </w:r>
    </w:p>
    <w:p>
      <w:pPr>
        <w:pStyle w:val="BodyText2"/>
        <w:rPr/>
      </w:pPr>
      <w:r>
        <w:rPr/>
        <w:t>See comments above.</w:t>
      </w:r>
    </w:p>
    <w:p>
      <w:pPr>
        <w:pStyle w:val="Normal"/>
        <w:rPr>
          <w:sz w:val="24"/>
        </w:rPr>
      </w:pPr>
      <w:r>
        <w:rPr>
          <w:sz w:val="24"/>
        </w:rPr>
      </w:r>
    </w:p>
    <w:p>
      <w:pPr>
        <w:pStyle w:val="Normal"/>
        <w:numPr>
          <w:ilvl w:val="0"/>
          <w:numId w:val="7"/>
        </w:numPr>
        <w:rPr>
          <w:sz w:val="24"/>
        </w:rPr>
      </w:pPr>
      <w:r>
        <w:rPr>
          <w:sz w:val="24"/>
        </w:rPr>
        <w:t xml:space="preserve">Target Availability &amp; Availability Declarations &amp; other Measurements: </w:t>
      </w:r>
    </w:p>
    <w:p>
      <w:pPr>
        <w:pStyle w:val="Normal"/>
        <w:rPr>
          <w:sz w:val="24"/>
        </w:rPr>
      </w:pPr>
      <w:r>
        <w:rPr>
          <w:sz w:val="24"/>
        </w:rPr>
      </w:r>
    </w:p>
    <w:p>
      <w:pPr>
        <w:pStyle w:val="Normal"/>
        <w:rPr>
          <w:sz w:val="24"/>
        </w:rPr>
      </w:pPr>
      <w:r>
        <w:rPr>
          <w:sz w:val="24"/>
        </w:rPr>
        <w:t xml:space="preserve">Is there a need to fix a target availability, vis-à-vis, the third party?; </w:t>
      </w:r>
      <w:r>
        <w:rPr>
          <w:b/>
          <w:sz w:val="24"/>
        </w:rPr>
        <w:t xml:space="preserve">OR </w:t>
      </w:r>
    </w:p>
    <w:p>
      <w:pPr>
        <w:pStyle w:val="Heading1"/>
        <w:ind w:hanging="0" w:start="0"/>
        <w:rPr/>
      </w:pPr>
      <w:r>
        <w:rPr/>
        <w:t>Do we say that we get paid our capacity charge only for periods when we are available</w:t>
      </w:r>
    </w:p>
    <w:p>
      <w:pPr>
        <w:pStyle w:val="Normal"/>
        <w:rPr>
          <w:sz w:val="24"/>
        </w:rPr>
      </w:pPr>
      <w:r>
        <w:rPr>
          <w:sz w:val="24"/>
        </w:rPr>
      </w:r>
    </w:p>
    <w:p>
      <w:pPr>
        <w:pStyle w:val="BodyText2"/>
        <w:rPr/>
      </w:pPr>
      <w:r>
        <w:rPr/>
        <w:t>There will have to be a capacity type charge for the firm power being sold, paid irrespective of despatch.  For monsoon period, we maybe willing to show more flexibility, ad roll it into a formula that id despatch based.  How much we distinguish between peak and base is to be something we need to evolve.</w:t>
        <w:br/>
        <w:br/>
        <w:t>Please concretize your ideas on this more.</w:t>
      </w:r>
    </w:p>
    <w:p>
      <w:pPr>
        <w:pStyle w:val="Normal"/>
        <w:rPr>
          <w:sz w:val="24"/>
        </w:rPr>
      </w:pPr>
      <w:r>
        <w:rPr>
          <w:sz w:val="24"/>
        </w:rPr>
      </w:r>
    </w:p>
    <w:p>
      <w:pPr>
        <w:pStyle w:val="Normal"/>
        <w:rPr>
          <w:sz w:val="24"/>
        </w:rPr>
      </w:pPr>
      <w:r>
        <w:rPr>
          <w:sz w:val="24"/>
        </w:rPr>
        <w:t>Would the temperature and frequency corrections be applied to the availability computations for the purposes of capacity charge payments by the third party.</w:t>
      </w:r>
    </w:p>
    <w:p>
      <w:pPr>
        <w:pStyle w:val="Normal"/>
        <w:rPr>
          <w:sz w:val="24"/>
        </w:rPr>
      </w:pPr>
      <w:r>
        <w:rPr>
          <w:sz w:val="24"/>
        </w:rPr>
      </w:r>
    </w:p>
    <w:p>
      <w:pPr>
        <w:pStyle w:val="BodyText2"/>
        <w:rPr/>
      </w:pPr>
      <w:r>
        <w:rPr/>
        <w:t>You have to give me data on what happens without these corrections, and how you would propose to do the transaction without the corrections. I the absence of this data, I would have to go with the corrections scenario since I know exactly how it would work.  An additional wrinkle would be the delivered at busbar and delivered at the third party SEB grid.  This needs to be worked.</w:t>
      </w:r>
    </w:p>
    <w:p>
      <w:pPr>
        <w:pStyle w:val="Normal"/>
        <w:rPr>
          <w:sz w:val="24"/>
        </w:rPr>
      </w:pPr>
      <w:r>
        <w:rPr>
          <w:sz w:val="24"/>
        </w:rPr>
      </w:r>
    </w:p>
    <w:p>
      <w:pPr>
        <w:pStyle w:val="Normal"/>
        <w:numPr>
          <w:ilvl w:val="0"/>
          <w:numId w:val="7"/>
        </w:numPr>
        <w:rPr>
          <w:sz w:val="24"/>
        </w:rPr>
      </w:pPr>
      <w:r>
        <w:rPr>
          <w:sz w:val="24"/>
        </w:rPr>
        <w:t>Methodology of tariff computation:</w:t>
      </w:r>
    </w:p>
    <w:p>
      <w:pPr>
        <w:pStyle w:val="Normal"/>
        <w:rPr>
          <w:sz w:val="24"/>
        </w:rPr>
      </w:pPr>
      <w:r>
        <w:rPr>
          <w:sz w:val="24"/>
        </w:rPr>
      </w:r>
    </w:p>
    <w:p>
      <w:pPr>
        <w:pStyle w:val="Normal"/>
        <w:rPr>
          <w:sz w:val="24"/>
        </w:rPr>
      </w:pPr>
      <w:r>
        <w:rPr>
          <w:sz w:val="24"/>
        </w:rPr>
        <w:t>The Phase I tariff has a Capacity Component &amp; an Energy component</w:t>
      </w:r>
    </w:p>
    <w:p>
      <w:pPr>
        <w:pStyle w:val="Normal"/>
        <w:rPr>
          <w:sz w:val="24"/>
        </w:rPr>
      </w:pPr>
      <w:r>
        <w:rPr>
          <w:sz w:val="24"/>
        </w:rPr>
      </w:r>
    </w:p>
    <w:p>
      <w:pPr>
        <w:pStyle w:val="Normal"/>
        <w:numPr>
          <w:ilvl w:val="0"/>
          <w:numId w:val="4"/>
        </w:numPr>
        <w:rPr>
          <w:sz w:val="24"/>
        </w:rPr>
      </w:pPr>
      <w:r>
        <w:rPr>
          <w:sz w:val="24"/>
        </w:rPr>
        <w:t>Capacity component includes:</w:t>
      </w:r>
    </w:p>
    <w:p>
      <w:pPr>
        <w:pStyle w:val="Normal"/>
        <w:numPr>
          <w:ilvl w:val="0"/>
          <w:numId w:val="2"/>
        </w:numPr>
        <w:tabs>
          <w:tab w:val="left" w:pos="720" w:leader="none"/>
        </w:tabs>
        <w:ind w:hanging="360" w:start="720" w:end="0"/>
        <w:rPr>
          <w:sz w:val="24"/>
        </w:rPr>
      </w:pPr>
      <w:r>
        <w:rPr>
          <w:sz w:val="24"/>
        </w:rPr>
        <w:t xml:space="preserve">Rupee Fixed O&amp;M charges </w:t>
      </w:r>
    </w:p>
    <w:p>
      <w:pPr>
        <w:pStyle w:val="Normal"/>
        <w:numPr>
          <w:ilvl w:val="0"/>
          <w:numId w:val="2"/>
        </w:numPr>
        <w:tabs>
          <w:tab w:val="left" w:pos="720" w:leader="none"/>
        </w:tabs>
        <w:ind w:hanging="360" w:start="720" w:end="0"/>
        <w:rPr>
          <w:sz w:val="24"/>
        </w:rPr>
      </w:pPr>
      <w:r>
        <w:rPr>
          <w:sz w:val="24"/>
        </w:rPr>
        <w:t>Rupee Capital recovery charges</w:t>
      </w:r>
    </w:p>
    <w:p>
      <w:pPr>
        <w:pStyle w:val="Normal"/>
        <w:numPr>
          <w:ilvl w:val="0"/>
          <w:numId w:val="2"/>
        </w:numPr>
        <w:tabs>
          <w:tab w:val="left" w:pos="720" w:leader="none"/>
        </w:tabs>
        <w:ind w:hanging="360" w:start="720" w:end="0"/>
        <w:rPr>
          <w:sz w:val="24"/>
        </w:rPr>
      </w:pPr>
      <w:r>
        <w:rPr>
          <w:sz w:val="24"/>
        </w:rPr>
        <w:t>Real Rupee Fixed O&amp;M charges (Dollar denominated)</w:t>
      </w:r>
    </w:p>
    <w:p>
      <w:pPr>
        <w:pStyle w:val="Normal"/>
        <w:numPr>
          <w:ilvl w:val="0"/>
          <w:numId w:val="2"/>
        </w:numPr>
        <w:tabs>
          <w:tab w:val="left" w:pos="720" w:leader="none"/>
        </w:tabs>
        <w:ind w:hanging="360" w:start="720" w:end="0"/>
        <w:rPr>
          <w:sz w:val="24"/>
        </w:rPr>
      </w:pPr>
      <w:r>
        <w:rPr>
          <w:sz w:val="24"/>
        </w:rPr>
        <w:t>Real Rupee Capital recovery charges (Dollar denominated)</w:t>
      </w:r>
    </w:p>
    <w:p>
      <w:pPr>
        <w:pStyle w:val="Normal"/>
        <w:numPr>
          <w:ilvl w:val="0"/>
          <w:numId w:val="2"/>
        </w:numPr>
        <w:tabs>
          <w:tab w:val="left" w:pos="720" w:leader="none"/>
        </w:tabs>
        <w:ind w:hanging="360" w:start="720" w:end="0"/>
        <w:rPr>
          <w:sz w:val="24"/>
        </w:rPr>
      </w:pPr>
      <w:r>
        <w:rPr>
          <w:sz w:val="24"/>
        </w:rPr>
        <w:t>Insurance adjustment??</w:t>
      </w:r>
    </w:p>
    <w:p>
      <w:pPr>
        <w:pStyle w:val="BodyText"/>
        <w:ind w:start="360" w:end="0"/>
        <w:rPr/>
      </w:pPr>
      <w:r>
        <w:rPr/>
        <w:t xml:space="preserve">Capacity component is a function of the plant availability (which in turn is corrected for temperature &amp; frequency) </w:t>
      </w:r>
    </w:p>
    <w:p>
      <w:pPr>
        <w:pStyle w:val="Normal"/>
        <w:rPr>
          <w:sz w:val="24"/>
        </w:rPr>
      </w:pPr>
      <w:r>
        <w:rPr>
          <w:sz w:val="24"/>
        </w:rPr>
      </w:r>
    </w:p>
    <w:p>
      <w:pPr>
        <w:pStyle w:val="Normal"/>
        <w:rPr/>
      </w:pPr>
      <w:r>
        <w:rPr>
          <w:sz w:val="24"/>
          <w:u w:val="single"/>
        </w:rPr>
        <w:t>Impact of temperature variation on plant output</w:t>
      </w:r>
      <w:r>
        <w:rPr>
          <w:sz w:val="24"/>
        </w:rPr>
        <w:t>: (Based on PPA curves)</w:t>
      </w:r>
    </w:p>
    <w:p>
      <w:pPr>
        <w:pStyle w:val="Normal"/>
        <w:rPr>
          <w:sz w:val="24"/>
        </w:rPr>
      </w:pPr>
      <w:r>
        <w:rPr>
          <w:sz w:val="24"/>
        </w:rPr>
        <w:t>Decrease in Plant output by 3%, for an increase in temperature by 10 deg. F &amp; vice versa</w:t>
      </w:r>
    </w:p>
    <w:p>
      <w:pPr>
        <w:pStyle w:val="Normal"/>
        <w:rPr>
          <w:sz w:val="24"/>
        </w:rPr>
      </w:pPr>
      <w:r>
        <w:rPr>
          <w:sz w:val="24"/>
        </w:rPr>
      </w:r>
    </w:p>
    <w:p>
      <w:pPr>
        <w:pStyle w:val="Normal"/>
        <w:rPr/>
      </w:pPr>
      <w:r>
        <w:rPr>
          <w:sz w:val="24"/>
          <w:u w:val="single"/>
        </w:rPr>
        <w:t>Impact of frequency variation on plant output</w:t>
      </w:r>
      <w:r>
        <w:rPr>
          <w:sz w:val="24"/>
        </w:rPr>
        <w:t>: (Based on PPA curves)</w:t>
      </w:r>
    </w:p>
    <w:p>
      <w:pPr>
        <w:pStyle w:val="Normal"/>
        <w:rPr>
          <w:sz w:val="24"/>
        </w:rPr>
      </w:pPr>
      <w:r>
        <w:rPr>
          <w:sz w:val="24"/>
        </w:rPr>
        <w:t>Decrease in Plant output by 3%, for a reduction in Frequency by 1 Hz (say, from 50 Hz to 49 Hz) &amp; vice versa.</w:t>
      </w:r>
    </w:p>
    <w:p>
      <w:pPr>
        <w:pStyle w:val="Normal"/>
        <w:rPr>
          <w:sz w:val="24"/>
        </w:rPr>
      </w:pPr>
      <w:r>
        <w:rPr>
          <w:sz w:val="24"/>
        </w:rPr>
      </w:r>
    </w:p>
    <w:p>
      <w:pPr>
        <w:pStyle w:val="Normal"/>
        <w:rPr>
          <w:sz w:val="24"/>
        </w:rPr>
      </w:pPr>
      <w:r>
        <w:rPr>
          <w:sz w:val="24"/>
        </w:rPr>
        <w:t xml:space="preserve">If we are looking at a one year sale initially, we can freeze the capacity component into one figure, with a split into a rupee component and a dollar component and index the dollar component for rupee depreciation. We don’t need to bother about any other indices used in the PPA since, these other indices are indexed annually. </w:t>
      </w:r>
    </w:p>
    <w:p>
      <w:pPr>
        <w:pStyle w:val="Normal"/>
        <w:rPr>
          <w:sz w:val="24"/>
        </w:rPr>
      </w:pPr>
      <w:r>
        <w:rPr>
          <w:sz w:val="24"/>
        </w:rPr>
      </w:r>
    </w:p>
    <w:p>
      <w:pPr>
        <w:pStyle w:val="BodyText2"/>
        <w:rPr/>
      </w:pPr>
      <w:r>
        <w:rPr/>
        <w:t>I would even take some position on Rs. devaluation for a year or 2 year type period, and would try to have that as a firm figure, or escalate it using one indice.  This decision can be made only once we do some sensitivity study.</w:t>
      </w:r>
    </w:p>
    <w:p>
      <w:pPr>
        <w:pStyle w:val="Normal"/>
        <w:rPr>
          <w:sz w:val="24"/>
        </w:rPr>
      </w:pPr>
      <w:r>
        <w:rPr>
          <w:sz w:val="24"/>
        </w:rPr>
      </w:r>
    </w:p>
    <w:p>
      <w:pPr>
        <w:pStyle w:val="Normal"/>
        <w:numPr>
          <w:ilvl w:val="0"/>
          <w:numId w:val="10"/>
        </w:numPr>
        <w:rPr>
          <w:sz w:val="24"/>
        </w:rPr>
      </w:pPr>
      <w:r>
        <w:rPr>
          <w:sz w:val="24"/>
        </w:rPr>
        <w:t>Energy component includes:</w:t>
      </w:r>
    </w:p>
    <w:p>
      <w:pPr>
        <w:pStyle w:val="Normal"/>
        <w:numPr>
          <w:ilvl w:val="0"/>
          <w:numId w:val="11"/>
        </w:numPr>
        <w:tabs>
          <w:tab w:val="left" w:pos="720" w:leader="none"/>
        </w:tabs>
        <w:ind w:hanging="360" w:start="720" w:end="0"/>
        <w:rPr>
          <w:sz w:val="24"/>
        </w:rPr>
      </w:pPr>
      <w:r>
        <w:rPr>
          <w:sz w:val="24"/>
        </w:rPr>
        <w:t>Fuel price (pass through)</w:t>
      </w:r>
    </w:p>
    <w:p>
      <w:pPr>
        <w:pStyle w:val="Normal"/>
        <w:numPr>
          <w:ilvl w:val="0"/>
          <w:numId w:val="11"/>
        </w:numPr>
        <w:tabs>
          <w:tab w:val="left" w:pos="720" w:leader="none"/>
        </w:tabs>
        <w:ind w:hanging="360" w:start="720" w:end="0"/>
        <w:rPr>
          <w:sz w:val="24"/>
        </w:rPr>
      </w:pPr>
      <w:r>
        <w:rPr>
          <w:sz w:val="24"/>
        </w:rPr>
        <w:t>Tariff Heat rate (corrected for load factor &amp; frequency)</w:t>
      </w:r>
    </w:p>
    <w:p>
      <w:pPr>
        <w:pStyle w:val="Normal"/>
        <w:numPr>
          <w:ilvl w:val="0"/>
          <w:numId w:val="11"/>
        </w:numPr>
        <w:tabs>
          <w:tab w:val="left" w:pos="720" w:leader="none"/>
        </w:tabs>
        <w:ind w:hanging="360" w:start="720" w:end="0"/>
        <w:rPr>
          <w:sz w:val="24"/>
        </w:rPr>
      </w:pPr>
      <w:r>
        <w:rPr>
          <w:sz w:val="24"/>
        </w:rPr>
        <w:t>Variable O&amp;M charges</w:t>
      </w:r>
    </w:p>
    <w:p>
      <w:pPr>
        <w:pStyle w:val="Normal"/>
        <w:numPr>
          <w:ilvl w:val="0"/>
          <w:numId w:val="11"/>
        </w:numPr>
        <w:tabs>
          <w:tab w:val="left" w:pos="720" w:leader="none"/>
        </w:tabs>
        <w:ind w:hanging="360" w:start="720" w:end="0"/>
        <w:rPr>
          <w:sz w:val="24"/>
        </w:rPr>
      </w:pPr>
      <w:r>
        <w:rPr>
          <w:sz w:val="24"/>
        </w:rPr>
        <w:t>Fuel Management charges</w:t>
      </w:r>
    </w:p>
    <w:p>
      <w:pPr>
        <w:pStyle w:val="Normal"/>
        <w:rPr>
          <w:sz w:val="24"/>
        </w:rPr>
      </w:pPr>
      <w:r>
        <w:rPr>
          <w:sz w:val="24"/>
        </w:rPr>
      </w:r>
    </w:p>
    <w:p>
      <w:pPr>
        <w:pStyle w:val="Normal"/>
        <w:rPr/>
      </w:pPr>
      <w:r>
        <w:rPr>
          <w:sz w:val="24"/>
          <w:u w:val="single"/>
        </w:rPr>
        <w:t>Impact of load factor on heat rate</w:t>
      </w:r>
      <w:r>
        <w:rPr>
          <w:sz w:val="24"/>
        </w:rPr>
        <w:t>: (Based on PPA curves)</w:t>
      </w:r>
    </w:p>
    <w:p>
      <w:pPr>
        <w:pStyle w:val="Heading1"/>
        <w:ind w:hanging="0" w:start="0"/>
        <w:rPr/>
      </w:pPr>
      <w:r>
        <w:rPr/>
        <w:t xml:space="preserve">Increase in heat rate by 10% (760 btu/kwh) for a drop in Load by 30% (say, from 100% load to 70% load) </w:t>
      </w:r>
    </w:p>
    <w:p>
      <w:pPr>
        <w:pStyle w:val="Normal"/>
        <w:rPr>
          <w:sz w:val="24"/>
        </w:rPr>
      </w:pPr>
      <w:r>
        <w:rPr>
          <w:sz w:val="24"/>
        </w:rPr>
      </w:r>
    </w:p>
    <w:p>
      <w:pPr>
        <w:pStyle w:val="Normal"/>
        <w:rPr/>
      </w:pPr>
      <w:r>
        <w:rPr>
          <w:sz w:val="24"/>
          <w:u w:val="single"/>
        </w:rPr>
        <w:t>Impact of frequency on heat rate</w:t>
      </w:r>
      <w:r>
        <w:rPr>
          <w:sz w:val="24"/>
        </w:rPr>
        <w:t>: (Based on PPA curves)</w:t>
      </w:r>
    </w:p>
    <w:p>
      <w:pPr>
        <w:pStyle w:val="Normal"/>
        <w:rPr>
          <w:sz w:val="24"/>
        </w:rPr>
      </w:pPr>
      <w:r>
        <w:rPr>
          <w:sz w:val="24"/>
        </w:rPr>
        <w:t>Increase in Heat Rate by 1% (76 btu/kwh),  for a drop in frequency by 1Hz</w:t>
      </w:r>
    </w:p>
    <w:p>
      <w:pPr>
        <w:pStyle w:val="Normal"/>
        <w:rPr>
          <w:sz w:val="24"/>
        </w:rPr>
      </w:pPr>
      <w:r>
        <w:rPr>
          <w:sz w:val="24"/>
        </w:rPr>
      </w:r>
    </w:p>
    <w:p>
      <w:pPr>
        <w:pStyle w:val="BodyText2"/>
        <w:rPr/>
      </w:pPr>
      <w:r>
        <w:rPr/>
        <w:t>Team – This is all fine, but I need sensitivities run on this before we make this decision.  We need to develop curves and run sensitivities.</w:t>
      </w:r>
    </w:p>
    <w:p>
      <w:pPr>
        <w:pStyle w:val="Normal"/>
        <w:rPr>
          <w:sz w:val="24"/>
        </w:rPr>
      </w:pPr>
      <w:r>
        <w:rPr>
          <w:sz w:val="24"/>
        </w:rPr>
      </w:r>
      <w:r>
        <w:br w:type="page"/>
      </w:r>
    </w:p>
    <w:p>
      <w:pPr>
        <w:pStyle w:val="Normal"/>
        <w:rPr>
          <w:b/>
          <w:sz w:val="24"/>
        </w:rPr>
      </w:pPr>
      <w:r>
        <w:rPr>
          <w:b/>
          <w:sz w:val="24"/>
        </w:rPr>
      </w:r>
    </w:p>
    <w:p>
      <w:pPr>
        <w:pStyle w:val="Normal"/>
        <w:rPr/>
      </w:pPr>
      <w:r>
        <w:rPr>
          <w:b/>
          <w:sz w:val="24"/>
        </w:rPr>
        <w:t>Current Despatch Procedures, as per the PPA</w:t>
      </w:r>
      <w:r>
        <w:rPr>
          <w:sz w:val="24"/>
        </w:rPr>
        <w:t>:</w:t>
      </w:r>
    </w:p>
    <w:p>
      <w:pPr>
        <w:pStyle w:val="Normal"/>
        <w:rPr>
          <w:sz w:val="24"/>
        </w:rPr>
      </w:pPr>
      <w:r>
        <w:rPr>
          <w:sz w:val="24"/>
        </w:rPr>
      </w:r>
    </w:p>
    <w:p>
      <w:pPr>
        <w:pStyle w:val="Normal"/>
        <w:rPr>
          <w:b/>
          <w:sz w:val="24"/>
        </w:rPr>
      </w:pPr>
      <w:r>
        <w:rPr>
          <w:b/>
          <w:sz w:val="24"/>
        </w:rPr>
        <w:t>For Maintenance purposes:</w:t>
      </w:r>
    </w:p>
    <w:p>
      <w:pPr>
        <w:pStyle w:val="Heading2"/>
        <w:ind w:hanging="0" w:start="0"/>
        <w:rPr/>
      </w:pPr>
      <w:r>
        <w:rPr/>
        <w:t>Yearly Schedule</w:t>
      </w:r>
    </w:p>
    <w:p>
      <w:pPr>
        <w:pStyle w:val="BodyText"/>
        <w:numPr>
          <w:ilvl w:val="0"/>
          <w:numId w:val="9"/>
        </w:numPr>
        <w:rPr/>
      </w:pPr>
      <w:r>
        <w:rPr/>
        <w:t>Each year in the month of July, DPC submits maintenance programme for the next 5 Schedule Years (October – September)</w:t>
      </w:r>
    </w:p>
    <w:p>
      <w:pPr>
        <w:pStyle w:val="Normal"/>
        <w:numPr>
          <w:ilvl w:val="0"/>
          <w:numId w:val="3"/>
        </w:numPr>
        <w:rPr>
          <w:sz w:val="24"/>
        </w:rPr>
      </w:pPr>
      <w:r>
        <w:rPr>
          <w:sz w:val="24"/>
        </w:rPr>
        <w:t>In August, MSEB would submit its response to DPC’s programme</w:t>
      </w:r>
    </w:p>
    <w:p>
      <w:pPr>
        <w:pStyle w:val="Normal"/>
        <w:numPr>
          <w:ilvl w:val="0"/>
          <w:numId w:val="3"/>
        </w:numPr>
        <w:rPr>
          <w:sz w:val="24"/>
        </w:rPr>
      </w:pPr>
      <w:r>
        <w:rPr>
          <w:sz w:val="24"/>
        </w:rPr>
        <w:t>In September, the Maintenance Programme for the following Schedule Year would be established.</w:t>
      </w:r>
    </w:p>
    <w:p>
      <w:pPr>
        <w:pStyle w:val="Normal"/>
        <w:rPr>
          <w:sz w:val="24"/>
        </w:rPr>
      </w:pPr>
      <w:r>
        <w:rPr>
          <w:sz w:val="24"/>
        </w:rPr>
      </w:r>
    </w:p>
    <w:p>
      <w:pPr>
        <w:pStyle w:val="Normal"/>
        <w:rPr>
          <w:b/>
          <w:sz w:val="24"/>
        </w:rPr>
      </w:pPr>
      <w:r>
        <w:rPr>
          <w:b/>
          <w:sz w:val="24"/>
        </w:rPr>
        <w:t>For Fuel Purposes:</w:t>
      </w:r>
    </w:p>
    <w:p>
      <w:pPr>
        <w:pStyle w:val="Heading2"/>
        <w:ind w:hanging="0" w:start="0"/>
        <w:rPr/>
      </w:pPr>
      <w:r>
        <w:rPr/>
        <w:t>Bi-monthly Schedule</w:t>
      </w:r>
    </w:p>
    <w:p>
      <w:pPr>
        <w:pStyle w:val="Normal"/>
        <w:numPr>
          <w:ilvl w:val="0"/>
          <w:numId w:val="12"/>
        </w:numPr>
        <w:rPr>
          <w:b/>
          <w:sz w:val="24"/>
        </w:rPr>
      </w:pPr>
      <w:r>
        <w:rPr>
          <w:sz w:val="24"/>
        </w:rPr>
        <w:t>15 days prior to the beginning of each month, MSEB is to notify DPC of the anticipated level of despatch for the next 2 months</w:t>
      </w:r>
      <w:r>
        <w:rPr>
          <w:b/>
          <w:sz w:val="24"/>
        </w:rPr>
        <w:t xml:space="preserve"> </w:t>
      </w:r>
    </w:p>
    <w:p>
      <w:pPr>
        <w:pStyle w:val="Normal"/>
        <w:rPr>
          <w:b/>
          <w:sz w:val="24"/>
        </w:rPr>
      </w:pPr>
      <w:r>
        <w:rPr>
          <w:b/>
          <w:sz w:val="24"/>
        </w:rPr>
      </w:r>
    </w:p>
    <w:p>
      <w:pPr>
        <w:pStyle w:val="Normal"/>
        <w:rPr>
          <w:b/>
          <w:sz w:val="24"/>
        </w:rPr>
      </w:pPr>
      <w:r>
        <w:rPr>
          <w:b/>
          <w:sz w:val="24"/>
        </w:rPr>
      </w:r>
    </w:p>
    <w:p>
      <w:pPr>
        <w:pStyle w:val="Normal"/>
        <w:rPr>
          <w:b/>
          <w:color w:val="FF0000"/>
          <w:sz w:val="24"/>
        </w:rPr>
      </w:pPr>
      <w:r>
        <w:rPr>
          <w:b/>
          <w:color w:val="FF0000"/>
          <w:sz w:val="24"/>
        </w:rPr>
        <w:t>Having gone through the Excell spreadsheet I see that the range for the tariff is from 3.70 to 3.93/kWh depending on the assumptions we make.  What is needed is to have a computation of actual variations:</w:t>
      </w:r>
    </w:p>
    <w:p>
      <w:pPr>
        <w:pStyle w:val="Normal"/>
        <w:rPr>
          <w:b/>
          <w:color w:val="FF0000"/>
          <w:sz w:val="24"/>
        </w:rPr>
      </w:pPr>
      <w:r>
        <w:rPr>
          <w:b/>
          <w:color w:val="FF0000"/>
          <w:sz w:val="24"/>
        </w:rPr>
      </w:r>
    </w:p>
    <w:p>
      <w:pPr>
        <w:pStyle w:val="Normal"/>
        <w:numPr>
          <w:ilvl w:val="0"/>
          <w:numId w:val="6"/>
        </w:numPr>
        <w:rPr>
          <w:b/>
          <w:color w:val="FF0000"/>
          <w:sz w:val="24"/>
        </w:rPr>
      </w:pPr>
      <w:r>
        <w:rPr>
          <w:b/>
          <w:color w:val="FF0000"/>
          <w:sz w:val="24"/>
        </w:rPr>
        <w:t>For fuel the range in $/MMBtu of BOTH naphtha and distillate – actual nos. as well as prediction from the curves Anshuman already has from Marc.</w:t>
        <w:br/>
      </w:r>
    </w:p>
    <w:p>
      <w:pPr>
        <w:pStyle w:val="Normal"/>
        <w:numPr>
          <w:ilvl w:val="0"/>
          <w:numId w:val="6"/>
        </w:numPr>
        <w:rPr>
          <w:b/>
          <w:color w:val="FF0000"/>
          <w:sz w:val="24"/>
        </w:rPr>
      </w:pPr>
      <w:r>
        <w:rPr>
          <w:b/>
          <w:color w:val="FF0000"/>
          <w:sz w:val="24"/>
        </w:rPr>
        <w:t>Rs. devaluation assumptions and curves versus the dollar.  I will put you through to the currency trader for doing this – remind me.</w:t>
        <w:br/>
      </w:r>
    </w:p>
    <w:p>
      <w:pPr>
        <w:pStyle w:val="Normal"/>
        <w:numPr>
          <w:ilvl w:val="0"/>
          <w:numId w:val="6"/>
        </w:numPr>
        <w:rPr>
          <w:b/>
          <w:color w:val="FF0000"/>
          <w:sz w:val="24"/>
        </w:rPr>
      </w:pPr>
      <w:r>
        <w:rPr>
          <w:b/>
          <w:color w:val="FF0000"/>
          <w:sz w:val="24"/>
        </w:rPr>
        <w:t>On heat rate, I want you to get a very good handle on the heat rates the plant has for peaking (duct firing and also frame 6, as well as the pure frame 9 heat rate).  Shubh has already got most of this.  Work with him.</w:t>
        <w:br/>
      </w:r>
    </w:p>
    <w:p>
      <w:pPr>
        <w:pStyle w:val="Normal"/>
        <w:numPr>
          <w:ilvl w:val="0"/>
          <w:numId w:val="6"/>
        </w:numPr>
        <w:rPr>
          <w:b/>
          <w:color w:val="FF0000"/>
          <w:sz w:val="24"/>
        </w:rPr>
      </w:pPr>
      <w:r>
        <w:rPr>
          <w:b/>
          <w:color w:val="FF0000"/>
          <w:sz w:val="24"/>
        </w:rPr>
        <w:t>I then also want a table that shows at the extremes what the price for the power sold would be for power sold per the PPA (each component please).</w:t>
        <w:br/>
      </w:r>
    </w:p>
    <w:p>
      <w:pPr>
        <w:pStyle w:val="Normal"/>
        <w:rPr>
          <w:b/>
          <w:color w:val="FF0000"/>
          <w:sz w:val="24"/>
        </w:rPr>
      </w:pPr>
      <w:r>
        <w:rPr>
          <w:b/>
          <w:color w:val="FF0000"/>
          <w:sz w:val="24"/>
        </w:rPr>
        <w:t>Then lets have a conference call and decide future course of action.</w:t>
      </w:r>
    </w:p>
    <w:p>
      <w:pPr>
        <w:pStyle w:val="Normal"/>
        <w:rPr>
          <w:b/>
          <w:color w:val="FF0000"/>
          <w:sz w:val="24"/>
        </w:rPr>
      </w:pPr>
      <w:r>
        <w:rPr>
          <w:b/>
          <w:color w:val="FF0000"/>
          <w:sz w:val="24"/>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color w:val="FF0000"/>
    </w:rPr>
  </w:style>
  <w:style w:type="paragraph" w:styleId="BodyText2">
    <w:name w:val="Body Text 2"/>
    <w:basedOn w:val="Normal"/>
    <w:qFormat/>
    <w:pPr/>
    <w:rPr>
      <w:b/>
      <w:color w:val="FF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1999-12-26T00:07:00Z</dcterms:created>
  <dc:creator>Enron User</dc:creator>
  <dc:description/>
  <dc:language>en-CA</dc:language>
  <cp:lastModifiedBy>EI</cp:lastModifiedBy>
  <cp:lastPrinted>1999-12-24T10:32:00Z</cp:lastPrinted>
  <dcterms:modified xsi:type="dcterms:W3CDTF">1999-12-26T01:32:00Z</dcterms:modified>
  <cp:revision>9</cp:revision>
  <dc:subject/>
  <dc:title>Issues with respect to sale of firm power to a third party:</dc:title>
</cp:coreProperties>
</file>