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rFonts w:ascii="ZapfHumnst BT;Lucida Sans Unicode" w:hAnsi="ZapfHumnst BT;Lucida Sans Unicode" w:cs="ZapfHumnst BT;Lucida Sans Unicode"/>
        </w:rPr>
      </w:pPr>
      <w:r>
        <w:rPr>
          <w:rFonts w:cs="ZapfHumnst BT;Lucida Sans Unicode" w:ascii="ZapfHumnst BT;Lucida Sans Unicode" w:hAnsi="ZapfHumnst BT;Lucida Sans Unicode"/>
          <w:vanish w:val="false"/>
        </w:rPr>
        <w:commentReference w:id="0"/>
      </w:r>
      <w:bookmarkStart w:id="0" w:name="MacroMark"/>
      <w:bookmarkEnd w:id="0"/>
      <w:r>
        <w:rPr>
          <w:rFonts w:cs="ZapfHumnst BT;Lucida Sans Unicode" w:ascii="ZapfHumnst BT;Lucida Sans Unicode" w:hAnsi="ZapfHumnst BT;Lucida Sans Unicode"/>
        </w:rPr>
        <w:tab/>
      </w:r>
      <w:r>
        <w:rPr>
          <w:rFonts w:cs="ZapfHumnst BT;Lucida Sans Unicode" w:ascii="ZapfHumnst BT;Lucida Sans Unicode" w:hAnsi="ZapfHumnst BT;Lucida Sans Unicode"/>
          <w:b/>
        </w:rPr>
        <w:t>SUMMARY OF FINDINGS AND CONCLUSIONS</w:t>
      </w:r>
    </w:p>
    <w:p>
      <w:pPr>
        <w:pStyle w:val="Normal"/>
        <w:tabs>
          <w:tab w:val="clear" w:pos="720"/>
          <w:tab w:val="center" w:pos="4680" w:leader="none"/>
        </w:tabs>
        <w:rPr>
          <w:rFonts w:ascii="ZapfHumnst BT;Lucida Sans Unicode" w:hAnsi="ZapfHumnst BT;Lucida Sans Unicode" w:cs="ZapfHumnst BT;Lucida Sans Unicode"/>
        </w:rPr>
      </w:pPr>
      <w:r>
        <w:rPr>
          <w:rFonts w:cs="ZapfHumnst BT;Lucida Sans Unicode" w:ascii="ZapfHumnst BT;Lucida Sans Unicode" w:hAnsi="ZapfHumnst BT;Lucida Sans Unicode"/>
        </w:rPr>
        <w:tab/>
      </w:r>
      <w:r>
        <w:rPr>
          <w:rFonts w:cs="ZapfHumnst BT;Lucida Sans Unicode" w:ascii="ZapfHumnst BT;Lucida Sans Unicode" w:hAnsi="ZapfHumnst BT;Lucida Sans Unicode"/>
          <w:b/>
        </w:rPr>
        <w:t>REGARDING THE INSTALLED CAPABILITY MARKET</w:t>
      </w:r>
    </w:p>
    <w:p>
      <w:pPr>
        <w:pStyle w:val="Normal"/>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p>
      <w:pPr>
        <w:pStyle w:val="Normal"/>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The findings and conclusions set forth below will form the basis of the ISO’s filing with the Federal Energy Regulatory Commission (the “Commission”), which it expects to make on May 8, 2000.</w:t>
      </w:r>
    </w:p>
    <w:p>
      <w:pPr>
        <w:pStyle w:val="Normal"/>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p>
      <w:pPr>
        <w:pStyle w:val="Normal"/>
        <w:tabs>
          <w:tab w:val="clear" w:pos="720"/>
          <w:tab w:val="left" w:pos="-1440" w:leader="none"/>
        </w:tabs>
        <w:ind w:hanging="720" w:start="720" w:end="0"/>
        <w:rPr>
          <w:rFonts w:ascii="ZapfHumnst BT;Lucida Sans Unicode" w:hAnsi="ZapfHumnst BT;Lucida Sans Unicode" w:cs="ZapfHumnst BT;Lucida Sans Unicode"/>
        </w:rPr>
      </w:pPr>
      <w:r>
        <w:rPr>
          <w:rFonts w:cs="ZapfHumnst BT;Lucida Sans Unicode" w:ascii="ZapfHumnst BT;Lucida Sans Unicode" w:hAnsi="ZapfHumnst BT;Lucida Sans Unicode"/>
          <w:b/>
        </w:rPr>
        <w:t>I.</w:t>
        <w:tab/>
        <w:t xml:space="preserve">DESCRIPTION OF RECENT EVENTS IN THE INSTALLED CAPABILITY MARKET </w:t>
      </w:r>
    </w:p>
    <w:p>
      <w:pPr>
        <w:pStyle w:val="Normal"/>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p>
      <w:pPr>
        <w:pStyle w:val="Normal"/>
        <w:tabs>
          <w:tab w:val="clear" w:pos="720"/>
          <w:tab w:val="left" w:pos="-1440" w:leader="none"/>
        </w:tabs>
        <w:spacing w:lineRule="auto" w:line="480"/>
        <w:ind w:hanging="720" w:start="1440" w:end="0"/>
        <w:rPr>
          <w:rFonts w:ascii="ZapfHumnst BT;Lucida Sans Unicode" w:hAnsi="ZapfHumnst BT;Lucida Sans Unicode" w:cs="ZapfHumnst BT;Lucida Sans Unicode"/>
        </w:rPr>
      </w:pPr>
      <w:r>
        <w:rPr>
          <w:rFonts w:cs="ZapfHumnst BT;Lucida Sans Unicode" w:ascii="ZapfHumnst BT;Lucida Sans Unicode" w:hAnsi="ZapfHumnst BT;Lucida Sans Unicode"/>
          <w:b/>
        </w:rPr>
        <w:t>A.</w:t>
        <w:tab/>
        <w:t>Summary of Historical Bid Patterns and Observed New Bid Behavior</w:t>
      </w:r>
    </w:p>
    <w:p>
      <w:pPr>
        <w:pStyle w:val="Normal"/>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There are two notable trends in the recent history of bids in the Installed Capability market during the June 1999 - January 2000 period.  First, the highest bid in each month has increased from near $1,000 per megawatt to as high as $99,999 per megawatt for significant blocks of Installed Capability.  Second, for most of the period a large quantity was bid at $0 per megawatt and a small amount bid at high prices forming a “J” shaped supply curve.  The supply curve shape changed somewhat in December and dramatically in January with significant quantities bid in the market at the highest price offered.  It is this shift in the supply curve that is the basis for the bid mitigation action taken by the ISO for the January 2000 market.</w:t>
      </w:r>
    </w:p>
    <w:p>
      <w:pPr>
        <w:pStyle w:val="Normal"/>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Exhibit A presents the Installed Capability market clearing quantities and prices since the market’s inception.  For most of 1999, approximately 1000 megawatts cleared in the market and at least double that amount was offered at zero or at low prices.  As a result, the market-clearing price was $0 per megawatt for all months except March - May.  In January 2000, the amount that cleared quadrupled to over 4,000 megawatts resulting in a clearing price of $10,000 per megawatt (prior to adjustment for bid mitigation).</w:t>
      </w:r>
      <w:r>
        <w:rPr>
          <w:rStyle w:val="FootnoteCharacters"/>
          <w:rStyle w:val="FootnoteReference"/>
          <w:rFonts w:cs="ZapfHumnst BT;Lucida Sans Unicode" w:ascii="ZapfHumnst BT;Lucida Sans Unicode" w:hAnsi="ZapfHumnst BT;Lucida Sans Unicode"/>
          <w:vertAlign w:val="superscript"/>
        </w:rPr>
        <w:footnoteReference w:id="2"/>
      </w:r>
    </w:p>
    <w:p>
      <w:pPr>
        <w:pStyle w:val="Normal"/>
        <w:tabs>
          <w:tab w:val="clear" w:pos="720"/>
          <w:tab w:val="left" w:pos="-1440" w:leader="none"/>
        </w:tabs>
        <w:spacing w:lineRule="auto" w:line="480"/>
        <w:ind w:hanging="720" w:start="1440" w:end="0"/>
        <w:rPr>
          <w:rFonts w:ascii="ZapfHumnst BT;Lucida Sans Unicode" w:hAnsi="ZapfHumnst BT;Lucida Sans Unicode" w:cs="ZapfHumnst BT;Lucida Sans Unicode"/>
        </w:rPr>
      </w:pPr>
      <w:r>
        <w:rPr>
          <w:rFonts w:cs="ZapfHumnst BT;Lucida Sans Unicode" w:ascii="ZapfHumnst BT;Lucida Sans Unicode" w:hAnsi="ZapfHumnst BT;Lucida Sans Unicode"/>
          <w:b/>
        </w:rPr>
        <w:t>B.</w:t>
        <w:tab/>
        <w:t>ISO Mitigation</w:t>
      </w:r>
    </w:p>
    <w:p>
      <w:pPr>
        <w:pStyle w:val="Normal"/>
        <w:spacing w:lineRule="auto" w:line="480"/>
        <w:ind w:firstLine="720" w:end="0"/>
        <w:rPr/>
      </w:pPr>
      <w:r>
        <w:rPr>
          <w:rFonts w:cs="ZapfHumnst BT;Lucida Sans Unicode" w:ascii="ZapfHumnst BT;Lucida Sans Unicode" w:hAnsi="ZapfHumnst BT;Lucida Sans Unicode"/>
        </w:rPr>
        <w:t>Based upon the above observations of bidding pattern trends, on March 15, 2000 the ISO sent a request for cost and related data (including activity in the bilateral Installed Capability market) that were relevant to bids submitted in the Installed Capability market for November and December 1999 and January 2000 to three Participants.  This request followed the completion of the ISO Settlement Group</w:t>
      </w:r>
      <w:r>
        <w:rPr>
          <w:rFonts w:cs="WP TypographicSymbols;Courier New" w:ascii="WP TypographicSymbols;Courier New" w:hAnsi="WP TypographicSymbols;Courier New"/>
        </w:rPr>
        <w:t>’</w:t>
      </w:r>
      <w:r>
        <w:rPr>
          <w:rFonts w:cs="ZapfHumnst BT;Lucida Sans Unicode" w:ascii="ZapfHumnst BT;Lucida Sans Unicode" w:hAnsi="ZapfHumnst BT;Lucida Sans Unicode"/>
        </w:rPr>
        <w:t>s calculation of the megawatt amounts of each Participant’s excess or deficiency for January.  Written responses were received from two Participants and an oral response from the third Participant within the prescribed response time.</w:t>
      </w:r>
    </w:p>
    <w:p>
      <w:pPr>
        <w:pStyle w:val="Normal"/>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Market Rule 17, “Market Monitoring, Reporting and Market Power Mitigation”, states that “if the ISO detects a pattern of conduct, in unconstrained or constrained markets, that appears inconsistent with a competitive market, for which the Participant’s explanation, if it has offered one, is not adequate and which, without mitigation, would cause a material price increase, the ISO may impose mitigation to prevent the seller from engaging in such a pattern of conduct”.  As a result of its review of bid pattern trends and a review of Participant responses to the data request, on April 7, 2000, the ISO released a statement to NEPOOL that it had mitigated one bid in the January 2000 Installed Capability market, resulting in a clearing price of $0 per megawatt.</w:t>
      </w:r>
    </w:p>
    <w:p>
      <w:pPr>
        <w:pStyle w:val="Normal"/>
        <w:spacing w:lineRule="auto" w:line="480"/>
        <w:ind w:firstLine="720" w:end="0"/>
        <w:rPr/>
      </w:pPr>
      <w:r>
        <w:rPr>
          <w:rFonts w:cs="ZapfHumnst BT;Lucida Sans Unicode" w:ascii="ZapfHumnst BT;Lucida Sans Unicode" w:hAnsi="ZapfHumnst BT;Lucida Sans Unicode"/>
        </w:rPr>
        <w:t>In taking this bid mitigation action, the ISO complied with the basic tenet of Market Rule 17 for identifying market behavior that interferes with the competitive operation of the market.  That is, in its monitoring and mitigation effort, the ISO should identify “generators whose pattern of behavior is consistent with an intentional or systematic effort to raise the market clearing price; and whose pattern of behavior, without mitigation, would actually cause a material increase in the market clearing price</w:t>
      </w:r>
      <w:r>
        <w:rPr>
          <w:rFonts w:cs="WP TypographicSymbols;Courier New" w:ascii="WP TypographicSymbols;Courier New" w:hAnsi="WP TypographicSymbols;Courier New"/>
        </w:rPr>
        <w:t>”</w:t>
      </w:r>
      <w:r>
        <w:rPr>
          <w:rFonts w:cs="ZapfHumnst BT;Lucida Sans Unicode" w:ascii="ZapfHumnst BT;Lucida Sans Unicode" w:hAnsi="ZapfHumnst BT;Lucida Sans Unicode"/>
        </w:rPr>
        <w:t>.</w:t>
      </w:r>
    </w:p>
    <w:p>
      <w:pPr>
        <w:pStyle w:val="Normal"/>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Bids for significant amounts of Installed Capacity in January represented part of a pattern of behavior consistent with an intentional or systematic effort to raise the market clearing price.  One of these, a bid of over 2,000 megawatts at a price substantially higher than $10,000 per megawatt, represented over 60% of the total January non-zero priced bids, approximately one-half of the January market clearing quantity and double the quantity that had cleared in the previous months.  The Installed Capability represented by this bid, in effect, was withheld from the market causing the clearing price to increase.  Mitigation of this bid to zero reduced the Installed Capability clearing price to zero.  The ISO did not mitigate any other bids.</w:t>
      </w:r>
      <w:r>
        <w:rPr>
          <w:rStyle w:val="FootnoteCharacters"/>
          <w:rStyle w:val="FootnoteReference"/>
          <w:rFonts w:cs="ZapfHumnst BT;Lucida Sans Unicode" w:ascii="ZapfHumnst BT;Lucida Sans Unicode" w:hAnsi="ZapfHumnst BT;Lucida Sans Unicode"/>
          <w:vertAlign w:val="superscript"/>
        </w:rPr>
        <w:footnoteReference w:id="3"/>
      </w:r>
    </w:p>
    <w:p>
      <w:pPr>
        <w:pStyle w:val="Normal"/>
        <w:spacing w:lineRule="auto" w:line="480"/>
        <w:ind w:firstLine="720" w:end="0"/>
        <w:rPr/>
      </w:pPr>
      <w:r>
        <w:rPr>
          <w:rFonts w:cs="ZapfHumnst BT;Lucida Sans Unicode" w:ascii="ZapfHumnst BT;Lucida Sans Unicode" w:hAnsi="ZapfHumnst BT;Lucida Sans Unicode"/>
        </w:rPr>
        <w:t>The ISO mitigated this bid to zero based on the provision of Market Rule 17 permitting it to substitute a default bid equal to the actual, marginal cost of the resource being used to effect the anomalous behavior.</w:t>
      </w:r>
      <w:r>
        <w:rPr>
          <w:rStyle w:val="FootnoteCharacters"/>
          <w:rStyle w:val="FootnoteReference"/>
          <w:rFonts w:cs="ZapfHumnst BT;Lucida Sans Unicode" w:ascii="ZapfHumnst BT;Lucida Sans Unicode" w:hAnsi="ZapfHumnst BT;Lucida Sans Unicode"/>
          <w:vertAlign w:val="superscript"/>
        </w:rPr>
        <w:footnoteReference w:id="4"/>
      </w:r>
      <w:r>
        <w:rPr>
          <w:rFonts w:cs="ZapfHumnst BT;Lucida Sans Unicode" w:ascii="ZapfHumnst BT;Lucida Sans Unicode" w:hAnsi="ZapfHumnst BT;Lucida Sans Unicode"/>
        </w:rPr>
        <w:t xml:space="preserve">  In the context of the Installed Capability market, the ISO interprets this provision to mean the marginal cost of making the bid in question given the participation of the resources involved in the other Markets.  The ISO believes the marginal cost is zero. </w:t>
      </w:r>
    </w:p>
    <w:p>
      <w:pPr>
        <w:pStyle w:val="Normal"/>
        <w:tabs>
          <w:tab w:val="clear" w:pos="720"/>
          <w:tab w:val="left" w:pos="-1440" w:leader="none"/>
        </w:tabs>
        <w:ind w:hanging="720" w:start="720" w:end="0"/>
        <w:rPr>
          <w:rFonts w:ascii="ZapfHumnst BT;Lucida Sans Unicode" w:hAnsi="ZapfHumnst BT;Lucida Sans Unicode" w:cs="ZapfHumnst BT;Lucida Sans Unicode"/>
          <w:b/>
        </w:rPr>
      </w:pPr>
      <w:r>
        <w:rPr>
          <w:rFonts w:cs="ZapfHumnst BT;Lucida Sans Unicode" w:ascii="ZapfHumnst BT;Lucida Sans Unicode" w:hAnsi="ZapfHumnst BT;Lucida Sans Unicode"/>
          <w:b/>
        </w:rPr>
        <w:t>II.</w:t>
        <w:tab/>
        <w:t>THE INSTALLED CAPABILITY MARKET IS STRUCTURALLY FLAWED AND DOES NOT SERVE TO PRESERVE RELIABILITY</w:t>
      </w:r>
    </w:p>
    <w:p>
      <w:pPr>
        <w:pStyle w:val="Normal"/>
        <w:rPr>
          <w:rFonts w:ascii="ZapfHumnst BT;Lucida Sans Unicode" w:hAnsi="ZapfHumnst BT;Lucida Sans Unicode" w:cs="ZapfHumnst BT;Lucida Sans Unicode"/>
          <w:b/>
        </w:rPr>
      </w:pPr>
      <w:r>
        <w:rPr>
          <w:rFonts w:cs="ZapfHumnst BT;Lucida Sans Unicode" w:ascii="ZapfHumnst BT;Lucida Sans Unicode" w:hAnsi="ZapfHumnst BT;Lucida Sans Unicode"/>
          <w:b/>
        </w:rPr>
      </w:r>
    </w:p>
    <w:p>
      <w:pPr>
        <w:pStyle w:val="Normal"/>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b/>
        </w:rPr>
        <w:t>A.       Structural Flaws in the Market</w:t>
      </w:r>
    </w:p>
    <w:p>
      <w:pPr>
        <w:pStyle w:val="Normal"/>
        <w:spacing w:lineRule="auto" w:line="480"/>
        <w:ind w:firstLine="720" w:end="0"/>
        <w:rPr/>
      </w:pPr>
      <w:r>
        <w:rPr>
          <w:rFonts w:cs="ZapfHumnst BT;Lucida Sans Unicode" w:ascii="ZapfHumnst BT;Lucida Sans Unicode" w:hAnsi="ZapfHumnst BT;Lucida Sans Unicode"/>
        </w:rPr>
        <w:t>NEPOOL, like any control area, is required to meet NERC requirements for Objective Capability.</w:t>
      </w:r>
      <w:r>
        <w:rPr>
          <w:rStyle w:val="FootnoteCharacters"/>
          <w:rStyle w:val="FootnoteReference"/>
          <w:rFonts w:cs="ZapfHumnst BT;Lucida Sans Unicode" w:ascii="ZapfHumnst BT;Lucida Sans Unicode" w:hAnsi="ZapfHumnst BT;Lucida Sans Unicode"/>
          <w:vertAlign w:val="superscript"/>
        </w:rPr>
        <w:footnoteReference w:id="5"/>
      </w:r>
      <w:r>
        <w:rPr>
          <w:rFonts w:cs="ZapfHumnst BT;Lucida Sans Unicode" w:ascii="ZapfHumnst BT;Lucida Sans Unicode" w:hAnsi="ZapfHumnst BT;Lucida Sans Unicode"/>
        </w:rPr>
        <w:t xml:space="preserve">  Prior to the establishment of the Markets, Participants were paid for supplying Installed Capability to meet this requirement.  The product purchased by those payments amounted to a true option to purchase energy, because Participants were required to offer the energy from their units at the unit</w:t>
      </w:r>
      <w:r>
        <w:rPr>
          <w:rFonts w:cs="WP TypographicSymbols;Courier New" w:ascii="WP TypographicSymbols;Courier New" w:hAnsi="WP TypographicSymbols;Courier New"/>
        </w:rPr>
        <w:t>’</w:t>
      </w:r>
      <w:r>
        <w:rPr>
          <w:rFonts w:cs="ZapfHumnst BT;Lucida Sans Unicode" w:ascii="ZapfHumnst BT;Lucida Sans Unicode" w:hAnsi="ZapfHumnst BT;Lucida Sans Unicode"/>
        </w:rPr>
        <w:t>s actual variable operating cost.</w:t>
      </w:r>
    </w:p>
    <w:p>
      <w:pPr>
        <w:pStyle w:val="Normal"/>
        <w:spacing w:lineRule="auto" w:line="480"/>
        <w:ind w:firstLine="720" w:end="0"/>
        <w:rPr/>
      </w:pPr>
      <w:r>
        <w:rPr>
          <w:rFonts w:cs="ZapfHumnst BT;Lucida Sans Unicode" w:ascii="ZapfHumnst BT;Lucida Sans Unicode" w:hAnsi="ZapfHumnst BT;Lucida Sans Unicode"/>
        </w:rPr>
        <w:t xml:space="preserve">In designing the Markets, NEPOOL sought, in effect, to create a market that corresponded to each payment stream under the then-existing NEPOOL arrangements.  Of the resulting seven markets only two - Energy and AGC </w:t>
      </w:r>
      <w:r>
        <w:rPr>
          <w:rFonts w:cs="WP TypographicSymbols;Courier New" w:ascii="WP TypographicSymbols;Courier New" w:hAnsi="WP TypographicSymbols;Courier New"/>
        </w:rPr>
        <w:t>-</w:t>
      </w:r>
      <w:r>
        <w:rPr>
          <w:rFonts w:cs="ZapfHumnst BT;Lucida Sans Unicode" w:ascii="ZapfHumnst BT;Lucida Sans Unicode" w:hAnsi="ZapfHumnst BT;Lucida Sans Unicode"/>
        </w:rPr>
        <w:t>involve providing a real product in real-time.  Reserves, in the form of options to purchase energy on short notice, are also provided by bids in the Energy market.  Each of the remaining markets, the three reserve and two capacity markets, represented an auction for accounting entries.</w:t>
      </w:r>
      <w:r>
        <w:rPr>
          <w:rStyle w:val="FootnoteCharacters"/>
          <w:rStyle w:val="FootnoteReference"/>
          <w:rFonts w:cs="ZapfHumnst BT;Lucida Sans Unicode" w:ascii="ZapfHumnst BT;Lucida Sans Unicode" w:hAnsi="ZapfHumnst BT;Lucida Sans Unicode"/>
          <w:vertAlign w:val="superscript"/>
        </w:rPr>
        <w:footnoteReference w:id="6"/>
      </w:r>
      <w:r>
        <w:rPr>
          <w:rFonts w:cs="ZapfHumnst BT;Lucida Sans Unicode" w:ascii="ZapfHumnst BT;Lucida Sans Unicode" w:hAnsi="ZapfHumnst BT;Lucida Sans Unicode"/>
        </w:rPr>
        <w:t xml:space="preserve">  Since the accounting entries, by themselves, cost nothing, supply curves in all of these markets have tended to be “J” or “hockey stick” shaped:  large quantities are bid at zero or very low prices, and small quantities are bid at arbitrarily high prices in an attempt to set the price in the event of shortage.</w:t>
      </w:r>
      <w:r>
        <w:rPr>
          <w:rStyle w:val="FootnoteCharacters"/>
          <w:rStyle w:val="FootnoteReference"/>
          <w:rFonts w:cs="ZapfHumnst BT;Lucida Sans Unicode" w:ascii="ZapfHumnst BT;Lucida Sans Unicode" w:hAnsi="ZapfHumnst BT;Lucida Sans Unicode"/>
          <w:vertAlign w:val="superscript"/>
        </w:rPr>
        <w:footnoteReference w:id="7"/>
      </w:r>
      <w:r>
        <w:rPr>
          <w:rFonts w:cs="ZapfHumnst BT;Lucida Sans Unicode" w:ascii="ZapfHumnst BT;Lucida Sans Unicode" w:hAnsi="ZapfHumnst BT;Lucida Sans Unicode"/>
        </w:rPr>
        <w:t xml:space="preserve">  As demonstrated by the bidding history discussed above, this “ask and it shall be given” bidding pattern has occurred in the Installed Capability market just as it has in the other accounting entry markets.</w:t>
      </w:r>
    </w:p>
    <w:p>
      <w:pPr>
        <w:pStyle w:val="Normal"/>
        <w:spacing w:lineRule="auto" w:line="480"/>
        <w:ind w:firstLine="720" w:end="0"/>
        <w:rPr/>
      </w:pPr>
      <w:r>
        <w:rPr>
          <w:rFonts w:cs="ZapfHumnst BT;Lucida Sans Unicode" w:ascii="ZapfHumnst BT;Lucida Sans Unicode" w:hAnsi="ZapfHumnst BT;Lucida Sans Unicode"/>
        </w:rPr>
        <w:t>The Installed Capability market, unlike all the other Markets, is a monthly market.  In practice this has meant that it has not been subject to sharp swings and temporary shortages.  In addition, a month is too short a time period to affect the actual supply of Installed Capability, either by installing a new generating unit or by profitably decommissioning a unit, so the supply is essentially fixed for any month</w:t>
      </w:r>
      <w:r>
        <w:rPr>
          <w:rFonts w:cs="WP TypographicSymbols;Courier New" w:ascii="WP TypographicSymbols;Courier New" w:hAnsi="WP TypographicSymbols;Courier New"/>
        </w:rPr>
        <w:t>’</w:t>
      </w:r>
      <w:r>
        <w:rPr>
          <w:rFonts w:cs="ZapfHumnst BT;Lucida Sans Unicode" w:ascii="ZapfHumnst BT;Lucida Sans Unicode" w:hAnsi="ZapfHumnst BT;Lucida Sans Unicode"/>
        </w:rPr>
        <w:t>s auction.  The only cost of selling Installed Capability in the ISO-run residual market is the opportunity cost of not selling in the bilateral market.  But, the only cost of selling in the bilateral market on a month to month basis is the opportunity cost of not selling in the residual market.  In practice this has not provided a basis for substantial positive bids.</w:t>
      </w:r>
      <w:r>
        <w:rPr>
          <w:rStyle w:val="FootnoteCharacters"/>
          <w:rStyle w:val="FootnoteReference"/>
          <w:rFonts w:cs="ZapfHumnst BT;Lucida Sans Unicode" w:ascii="ZapfHumnst BT;Lucida Sans Unicode" w:hAnsi="ZapfHumnst BT;Lucida Sans Unicode"/>
          <w:vertAlign w:val="superscript"/>
        </w:rPr>
        <w:footnoteReference w:id="8"/>
      </w:r>
      <w:r>
        <w:rPr>
          <w:rFonts w:cs="ZapfHumnst BT;Lucida Sans Unicode" w:ascii="ZapfHumnst BT;Lucida Sans Unicode" w:hAnsi="ZapfHumnst BT;Lucida Sans Unicode"/>
        </w:rPr>
        <w:t xml:space="preserve">  </w:t>
      </w:r>
    </w:p>
    <w:p>
      <w:pPr>
        <w:pStyle w:val="Normal"/>
        <w:spacing w:lineRule="auto" w:line="480"/>
        <w:ind w:firstLine="720" w:end="0"/>
        <w:rPr/>
      </w:pPr>
      <w:r>
        <w:rPr>
          <w:rFonts w:cs="ZapfHumnst BT;Lucida Sans Unicode" w:ascii="ZapfHumnst BT;Lucida Sans Unicode" w:hAnsi="ZapfHumnst BT;Lucida Sans Unicode"/>
        </w:rPr>
        <w:t>If the Installed Capability auction were a workably competitive market with good information the price would be expected to fall to zero.  The auction is not workably competitive and provides little transparency.  The “excess” and “deficiency” structure means that some Participants do not know the quantities they are bidding when they submit their bids.  In addition, clearing prices and quantities are not known until more than 30 days after the end of the month.  By that time, bids for two additional months must have been submitted.  Quantities and prices of Installed Capability that is bought and sold in the bilateral market are generally known only to the contracting parties.</w:t>
      </w:r>
      <w:r>
        <w:rPr>
          <w:rStyle w:val="FootnoteCharacters"/>
          <w:rStyle w:val="FootnoteReference"/>
          <w:rFonts w:cs="ZapfHumnst BT;Lucida Sans Unicode" w:ascii="ZapfHumnst BT;Lucida Sans Unicode" w:hAnsi="ZapfHumnst BT;Lucida Sans Unicode"/>
          <w:vertAlign w:val="superscript"/>
        </w:rPr>
        <w:footnoteReference w:id="9"/>
      </w:r>
      <w:bookmarkStart w:id="1" w:name="QuickMark"/>
      <w:bookmarkEnd w:id="1"/>
      <w:r>
        <w:rPr>
          <w:rFonts w:cs="ZapfHumnst BT;Lucida Sans Unicode" w:ascii="ZapfHumnst BT;Lucida Sans Unicode" w:hAnsi="ZapfHumnst BT;Lucida Sans Unicode"/>
        </w:rPr>
        <w:t xml:space="preserve">  The residual market is at best a muted and delayed reflection of events in the bilateral market.  </w:t>
      </w:r>
    </w:p>
    <w:p>
      <w:pPr>
        <w:pStyle w:val="Normal"/>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 xml:space="preserve">More importantly, the Installed Capability auction is not workably competitive.  The current supply of Installed Capability in NEPOOL exceeds the fixed requirement by a comparatively narrow margin.  That margin, which can be expressed as the excess of Participants' aggregate surpluses over Participants' aggregate deficiencies, is set forth in the </w:t>
      </w:r>
    </w:p>
    <w:p>
      <w:pPr>
        <w:pStyle w:val="Normal"/>
        <w:spacing w:lineRule="auto" w:line="480"/>
        <w:rPr>
          <w:rFonts w:ascii="ZapfHumnst BT;Lucida Sans Unicode" w:hAnsi="ZapfHumnst BT;Lucida Sans Unicode" w:cs="ZapfHumnst BT;Lucida Sans Unicode"/>
        </w:rPr>
      </w:pPr>
      <w:r>
        <w:rPr>
          <w:rFonts w:cs="ZapfHumnst BT;Lucida Sans Unicode" w:ascii="ZapfHumnst BT;Lucida Sans Unicode" w:hAnsi="ZapfHumnst BT;Lucida Sans Unicode"/>
        </w:rPr>
        <w:t>following table for the months of June 1999 through January 2000:</w:t>
      </w:r>
      <w:r>
        <w:br w:type="page"/>
      </w:r>
    </w:p>
    <w:p>
      <w:pPr>
        <w:pStyle w:val="Normal"/>
        <w:spacing w:lineRule="auto" w:line="480"/>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p>
      <w:pPr>
        <w:pStyle w:val="Normal"/>
        <w:tabs>
          <w:tab w:val="clear" w:pos="720"/>
          <w:tab w:val="left" w:pos="-432" w:leader="none"/>
          <w:tab w:val="left" w:pos="288" w:leader="none"/>
          <w:tab w:val="left" w:pos="1008" w:leader="none"/>
          <w:tab w:val="center" w:pos="3348" w:leader="none"/>
          <w:tab w:val="center" w:pos="5688" w:leader="none"/>
          <w:tab w:val="center" w:pos="8028" w:leader="none"/>
          <w:tab w:val="left" w:pos="8928" w:leader="none"/>
        </w:tabs>
        <w:ind w:start="1008"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Month</w:t>
        <w:tab/>
        <w:t>Pool</w:t>
        <w:tab/>
        <w:t>Pool</w:t>
        <w:tab/>
        <w:t>Net</w:t>
      </w:r>
    </w:p>
    <w:p>
      <w:pPr>
        <w:pStyle w:val="Normal"/>
        <w:tabs>
          <w:tab w:val="clear" w:pos="720"/>
          <w:tab w:val="left" w:pos="-432" w:leader="none"/>
          <w:tab w:val="left" w:pos="288" w:leader="none"/>
          <w:tab w:val="left" w:pos="1008" w:leader="none"/>
          <w:tab w:val="center" w:pos="3348" w:leader="none"/>
          <w:tab w:val="center" w:pos="5688" w:leader="none"/>
          <w:tab w:val="center" w:pos="8028" w:leader="none"/>
          <w:tab w:val="left" w:pos="8928" w:leader="none"/>
        </w:tabs>
        <w:ind w:start="1008" w:end="0"/>
        <w:rPr/>
      </w:pPr>
      <w:r>
        <w:rPr>
          <w:rFonts w:cs="ZapfHumnst BT;Lucida Sans Unicode" w:ascii="ZapfHumnst BT;Lucida Sans Unicode" w:hAnsi="ZapfHumnst BT;Lucida Sans Unicode"/>
        </w:rPr>
        <w:tab/>
        <w:t>Excess</w:t>
      </w:r>
      <w:r>
        <w:rPr>
          <w:rStyle w:val="FootnoteCharacters"/>
          <w:rStyle w:val="FootnoteReference"/>
          <w:rFonts w:cs="ZapfHumnst BT;Lucida Sans Unicode" w:ascii="ZapfHumnst BT;Lucida Sans Unicode" w:hAnsi="ZapfHumnst BT;Lucida Sans Unicode"/>
          <w:vertAlign w:val="superscript"/>
        </w:rPr>
        <w:footnoteReference w:id="10"/>
      </w:r>
      <w:r>
        <w:rPr>
          <w:rFonts w:cs="ZapfHumnst BT;Lucida Sans Unicode" w:ascii="ZapfHumnst BT;Lucida Sans Unicode" w:hAnsi="ZapfHumnst BT;Lucida Sans Unicode"/>
        </w:rPr>
        <w:tab/>
        <w:t>Deficiency</w:t>
      </w:r>
      <w:r>
        <w:rPr>
          <w:rFonts w:cs="ZapfHumnst BT;Lucida Sans Unicode" w:ascii="ZapfHumnst BT;Lucida Sans Unicode" w:hAnsi="ZapfHumnst BT;Lucida Sans Unicode"/>
          <w:vertAlign w:val="superscript"/>
        </w:rPr>
        <w:t>9</w:t>
      </w:r>
      <w:r>
        <w:rPr>
          <w:rFonts w:cs="ZapfHumnst BT;Lucida Sans Unicode" w:ascii="ZapfHumnst BT;Lucida Sans Unicode" w:hAnsi="ZapfHumnst BT;Lucida Sans Unicode"/>
        </w:rPr>
        <w:tab/>
        <w:t>Excess</w:t>
      </w:r>
    </w:p>
    <w:p>
      <w:pPr>
        <w:pStyle w:val="Normal"/>
        <w:tabs>
          <w:tab w:val="clear" w:pos="720"/>
          <w:tab w:val="left" w:pos="-432" w:leader="none"/>
          <w:tab w:val="left" w:pos="288" w:leader="none"/>
          <w:tab w:val="left" w:pos="1008" w:leader="none"/>
          <w:tab w:val="center" w:pos="3348" w:leader="none"/>
          <w:tab w:val="center" w:pos="5688" w:leader="none"/>
          <w:tab w:val="center" w:pos="8028" w:leader="none"/>
          <w:tab w:val="left" w:pos="8928" w:leader="none"/>
        </w:tabs>
        <w:ind w:start="1008"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ab/>
        <w:t>(Megawatts)</w:t>
        <w:tab/>
        <w:t>(Megawatts)</w:t>
        <w:tab/>
        <w:t>(Megawatts)</w:t>
      </w:r>
    </w:p>
    <w:p>
      <w:pPr>
        <w:pStyle w:val="Normal"/>
        <w:tabs>
          <w:tab w:val="clear" w:pos="720"/>
          <w:tab w:val="left" w:pos="-432" w:leader="none"/>
          <w:tab w:val="left" w:pos="288" w:leader="none"/>
          <w:tab w:val="left" w:pos="1008" w:leader="none"/>
          <w:tab w:val="right" w:pos="3528" w:leader="none"/>
          <w:tab w:val="right" w:pos="5958" w:leader="none"/>
          <w:tab w:val="right" w:pos="8298" w:leader="none"/>
          <w:tab w:val="left" w:pos="8928" w:leader="none"/>
        </w:tabs>
        <w:ind w:start="1008"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p>
      <w:pPr>
        <w:pStyle w:val="Normal"/>
        <w:tabs>
          <w:tab w:val="clear" w:pos="720"/>
          <w:tab w:val="left" w:pos="-432" w:leader="none"/>
          <w:tab w:val="left" w:pos="288" w:leader="none"/>
          <w:tab w:val="left" w:pos="1008" w:leader="none"/>
          <w:tab w:val="right" w:pos="3528" w:leader="none"/>
          <w:tab w:val="right" w:pos="5958" w:leader="none"/>
          <w:tab w:val="right" w:pos="8298" w:leader="none"/>
          <w:tab w:val="left" w:pos="8928" w:leader="none"/>
        </w:tabs>
        <w:ind w:start="1008"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June</w:t>
        <w:tab/>
        <w:t>1841</w:t>
        <w:tab/>
        <w:t>957</w:t>
        <w:tab/>
        <w:t>884</w:t>
      </w:r>
    </w:p>
    <w:p>
      <w:pPr>
        <w:pStyle w:val="Normal"/>
        <w:tabs>
          <w:tab w:val="clear" w:pos="720"/>
          <w:tab w:val="left" w:pos="-432" w:leader="none"/>
          <w:tab w:val="left" w:pos="288" w:leader="none"/>
          <w:tab w:val="left" w:pos="1008" w:leader="none"/>
          <w:tab w:val="right" w:pos="3528" w:leader="none"/>
          <w:tab w:val="right" w:pos="5958" w:leader="none"/>
          <w:tab w:val="right" w:pos="8298" w:leader="none"/>
          <w:tab w:val="left" w:pos="8928" w:leader="none"/>
        </w:tabs>
        <w:ind w:start="1008"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July</w:t>
        <w:tab/>
        <w:t>2445</w:t>
        <w:tab/>
        <w:t>1045</w:t>
        <w:tab/>
        <w:t>1400</w:t>
      </w:r>
    </w:p>
    <w:p>
      <w:pPr>
        <w:pStyle w:val="Normal"/>
        <w:tabs>
          <w:tab w:val="clear" w:pos="720"/>
          <w:tab w:val="left" w:pos="-432" w:leader="none"/>
          <w:tab w:val="left" w:pos="288" w:leader="none"/>
          <w:tab w:val="left" w:pos="1008" w:leader="none"/>
          <w:tab w:val="right" w:pos="3528" w:leader="none"/>
          <w:tab w:val="right" w:pos="5958" w:leader="none"/>
          <w:tab w:val="right" w:pos="8298" w:leader="none"/>
          <w:tab w:val="left" w:pos="8928" w:leader="none"/>
        </w:tabs>
        <w:ind w:start="1008"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August</w:t>
        <w:tab/>
        <w:t>2296</w:t>
        <w:tab/>
        <w:t>921</w:t>
        <w:tab/>
        <w:t>1375</w:t>
      </w:r>
    </w:p>
    <w:p>
      <w:pPr>
        <w:pStyle w:val="Normal"/>
        <w:tabs>
          <w:tab w:val="clear" w:pos="720"/>
          <w:tab w:val="left" w:pos="-432" w:leader="none"/>
          <w:tab w:val="left" w:pos="288" w:leader="none"/>
          <w:tab w:val="left" w:pos="1008" w:leader="none"/>
          <w:tab w:val="right" w:pos="3528" w:leader="none"/>
          <w:tab w:val="right" w:pos="5958" w:leader="none"/>
          <w:tab w:val="right" w:pos="8298" w:leader="none"/>
          <w:tab w:val="left" w:pos="8928" w:leader="none"/>
        </w:tabs>
        <w:ind w:start="1008"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September</w:t>
        <w:tab/>
        <w:t>2491</w:t>
        <w:tab/>
        <w:t>1155</w:t>
        <w:tab/>
        <w:t>1336</w:t>
      </w:r>
    </w:p>
    <w:p>
      <w:pPr>
        <w:pStyle w:val="Normal"/>
        <w:tabs>
          <w:tab w:val="clear" w:pos="720"/>
          <w:tab w:val="left" w:pos="-432" w:leader="none"/>
          <w:tab w:val="left" w:pos="288" w:leader="none"/>
          <w:tab w:val="left" w:pos="1008" w:leader="none"/>
          <w:tab w:val="right" w:pos="3528" w:leader="none"/>
          <w:tab w:val="right" w:pos="5958" w:leader="none"/>
          <w:tab w:val="right" w:pos="8298" w:leader="none"/>
          <w:tab w:val="left" w:pos="8928" w:leader="none"/>
        </w:tabs>
        <w:ind w:start="1008"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October</w:t>
        <w:tab/>
        <w:t>2845</w:t>
        <w:tab/>
        <w:t>1190</w:t>
        <w:tab/>
        <w:t>1655</w:t>
      </w:r>
    </w:p>
    <w:p>
      <w:pPr>
        <w:pStyle w:val="Normal"/>
        <w:tabs>
          <w:tab w:val="clear" w:pos="720"/>
          <w:tab w:val="left" w:pos="-432" w:leader="none"/>
          <w:tab w:val="left" w:pos="288" w:leader="none"/>
          <w:tab w:val="left" w:pos="1008" w:leader="none"/>
          <w:tab w:val="right" w:pos="3528" w:leader="none"/>
          <w:tab w:val="right" w:pos="5958" w:leader="none"/>
          <w:tab w:val="right" w:pos="8298" w:leader="none"/>
          <w:tab w:val="left" w:pos="8928" w:leader="none"/>
        </w:tabs>
        <w:ind w:start="1008"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November</w:t>
        <w:tab/>
        <w:t>3405</w:t>
        <w:tab/>
        <w:t>1127</w:t>
        <w:tab/>
        <w:t>2278</w:t>
      </w:r>
    </w:p>
    <w:p>
      <w:pPr>
        <w:pStyle w:val="Normal"/>
        <w:tabs>
          <w:tab w:val="clear" w:pos="720"/>
          <w:tab w:val="left" w:pos="-432" w:leader="none"/>
          <w:tab w:val="left" w:pos="288" w:leader="none"/>
          <w:tab w:val="left" w:pos="1008" w:leader="none"/>
          <w:tab w:val="right" w:pos="3528" w:leader="none"/>
          <w:tab w:val="right" w:pos="5958" w:leader="none"/>
          <w:tab w:val="right" w:pos="8298" w:leader="none"/>
          <w:tab w:val="left" w:pos="8928" w:leader="none"/>
        </w:tabs>
        <w:ind w:start="1008"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December</w:t>
        <w:tab/>
        <w:t>3734</w:t>
        <w:tab/>
        <w:t>1249</w:t>
        <w:tab/>
        <w:t>2485</w:t>
      </w:r>
    </w:p>
    <w:p>
      <w:pPr>
        <w:pStyle w:val="Normal"/>
        <w:tabs>
          <w:tab w:val="clear" w:pos="720"/>
          <w:tab w:val="left" w:pos="-432" w:leader="none"/>
          <w:tab w:val="left" w:pos="288" w:leader="none"/>
          <w:tab w:val="left" w:pos="1008" w:leader="none"/>
          <w:tab w:val="right" w:pos="3528" w:leader="none"/>
          <w:tab w:val="right" w:pos="5958" w:leader="none"/>
          <w:tab w:val="right" w:pos="8298" w:leader="none"/>
          <w:tab w:val="left" w:pos="8928" w:leader="none"/>
        </w:tabs>
        <w:ind w:start="1008"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January</w:t>
        <w:tab/>
        <w:t>6547</w:t>
        <w:tab/>
        <w:t>4254</w:t>
        <w:tab/>
        <w:t>2293</w:t>
      </w:r>
    </w:p>
    <w:p>
      <w:pPr>
        <w:pStyle w:val="Normal"/>
        <w:tabs>
          <w:tab w:val="clear" w:pos="720"/>
          <w:tab w:val="left" w:pos="-432" w:leader="none"/>
          <w:tab w:val="left" w:pos="288" w:leader="none"/>
          <w:tab w:val="left" w:pos="1008" w:leader="none"/>
          <w:tab w:val="right" w:pos="3528" w:leader="none"/>
          <w:tab w:val="right" w:pos="5958" w:leader="none"/>
          <w:tab w:val="right" w:pos="8298" w:leader="none"/>
          <w:tab w:val="left" w:pos="8928" w:leader="none"/>
        </w:tabs>
        <w:ind w:start="1008"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p>
      <w:pPr>
        <w:pStyle w:val="Normal"/>
        <w:tabs>
          <w:tab w:val="clear" w:pos="720"/>
          <w:tab w:val="left" w:pos="-1440" w:leader="none"/>
        </w:tabs>
        <w:spacing w:lineRule="auto" w:line="480"/>
        <w:rPr/>
      </w:pPr>
      <w:r>
        <w:rPr>
          <w:rFonts w:cs="ZapfHumnst BT;Lucida Sans Unicode" w:ascii="ZapfHumnst BT;Lucida Sans Unicode" w:hAnsi="ZapfHumnst BT;Lucida Sans Unicode"/>
        </w:rPr>
        <w:t>The net excess is the amount that does not clear in the residual auction.  Changes in the net excess from month to month represent installation of new units (or restart old ones for which capacity credit had been suspended) and changes in the amount of external Installed Capability contracts.</w:t>
      </w:r>
      <w:r>
        <w:rPr>
          <w:rStyle w:val="FootnoteCharacters"/>
          <w:rStyle w:val="FootnoteReference"/>
          <w:rFonts w:cs="ZapfHumnst BT;Lucida Sans Unicode" w:ascii="ZapfHumnst BT;Lucida Sans Unicode" w:hAnsi="ZapfHumnst BT;Lucida Sans Unicode"/>
          <w:vertAlign w:val="superscript"/>
        </w:rPr>
        <w:footnoteReference w:id="11"/>
      </w:r>
      <w:r>
        <w:rPr>
          <w:rFonts w:cs="ZapfHumnst BT;Lucida Sans Unicode" w:ascii="ZapfHumnst BT;Lucida Sans Unicode" w:hAnsi="ZapfHumnst BT;Lucida Sans Unicode"/>
        </w:rPr>
        <w:t xml:space="preserve"> </w:t>
      </w:r>
    </w:p>
    <w:p>
      <w:pPr>
        <w:pStyle w:val="Normal"/>
        <w:tabs>
          <w:tab w:val="clear" w:pos="720"/>
          <w:tab w:val="left" w:pos="-1440" w:leader="none"/>
        </w:tabs>
        <w:spacing w:lineRule="auto" w:line="480"/>
        <w:ind w:firstLine="720" w:end="0"/>
        <w:rPr/>
      </w:pPr>
      <w:r>
        <w:rPr>
          <w:rFonts w:cs="ZapfHumnst BT;Lucida Sans Unicode" w:ascii="ZapfHumnst BT;Lucida Sans Unicode" w:hAnsi="ZapfHumnst BT;Lucida Sans Unicode"/>
        </w:rPr>
        <w:t>In January 2000, four Participants had bid authority for units with winter claimed capacity of 2000 megawatts or more.</w:t>
      </w:r>
      <w:r>
        <w:rPr>
          <w:rStyle w:val="FootnoteCharacters"/>
          <w:rStyle w:val="FootnoteReference"/>
          <w:rFonts w:cs="ZapfHumnst BT;Lucida Sans Unicode" w:ascii="ZapfHumnst BT;Lucida Sans Unicode" w:hAnsi="ZapfHumnst BT;Lucida Sans Unicode"/>
          <w:vertAlign w:val="superscript"/>
        </w:rPr>
        <w:footnoteReference w:id="12"/>
      </w:r>
      <w:r>
        <w:rPr>
          <w:rFonts w:cs="ZapfHumnst BT;Lucida Sans Unicode" w:ascii="ZapfHumnst BT;Lucida Sans Unicode" w:hAnsi="ZapfHumnst BT;Lucida Sans Unicode"/>
        </w:rPr>
        <w:t xml:space="preserve">  In the absence of other obligations, any of these Participants could have unilaterally set the clearing price for Installed Capability in some months.  In other months there were only two effective bidders for the last megawatts of the Installed Capability requirement.  The withholding of one such block in January, coupled with certain other bid behavior, led to the need for mitigation action described above.</w:t>
      </w:r>
    </w:p>
    <w:p>
      <w:pPr>
        <w:pStyle w:val="Normal"/>
        <w:tabs>
          <w:tab w:val="clear" w:pos="720"/>
          <w:tab w:val="left" w:pos="-1440" w:leader="none"/>
        </w:tabs>
        <w:spacing w:lineRule="auto" w:line="480"/>
        <w:ind w:firstLine="720" w:end="0"/>
        <w:rPr/>
      </w:pPr>
      <w:r>
        <w:rPr>
          <w:rFonts w:cs="ZapfHumnst BT;Lucida Sans Unicode" w:ascii="ZapfHumnst BT;Lucida Sans Unicode" w:hAnsi="ZapfHumnst BT;Lucida Sans Unicode"/>
        </w:rPr>
        <w:t>The ISO believes that nothing protects the Installed Capability market from a recurrence of this behavior.  If the Installed Capability price in the residual market had continued at zero (as it had been since last May), the effect would eventually have been to drive the bilateral price to zero.  As  the bilateral price tends toward zero, the cost of withholding resources from the markets also approaches zero.  Even if there were a positive opportunity cost to withholding resources from the markets, the gains from forcing up the price in the residual market that a Participant could reap from subsequent higher prices in the bilateral market could more than outweigh a few months of foregone income.  Moreover, given the structural flaws in the market, the simultaneous behavior of two Participants, even absent collusion, can set the price arbitrarily high.</w:t>
      </w:r>
      <w:r>
        <w:rPr>
          <w:rStyle w:val="FootnoteCharacters"/>
          <w:rStyle w:val="FootnoteReference"/>
          <w:rFonts w:cs="ZapfHumnst BT;Lucida Sans Unicode" w:ascii="ZapfHumnst BT;Lucida Sans Unicode" w:hAnsi="ZapfHumnst BT;Lucida Sans Unicode"/>
          <w:vertAlign w:val="superscript"/>
        </w:rPr>
        <w:footnoteReference w:id="13"/>
      </w:r>
      <w:r>
        <w:rPr>
          <w:rFonts w:cs="ZapfHumnst BT;Lucida Sans Unicode" w:ascii="ZapfHumnst BT;Lucida Sans Unicode" w:hAnsi="ZapfHumnst BT;Lucida Sans Unicode"/>
        </w:rPr>
        <w:t xml:space="preserve"> </w:t>
      </w:r>
    </w:p>
    <w:p>
      <w:pPr>
        <w:pStyle w:val="Normal"/>
        <w:keepNext w:val="true"/>
        <w:keepLines/>
        <w:tabs>
          <w:tab w:val="clear" w:pos="720"/>
          <w:tab w:val="left" w:pos="-1440" w:leader="none"/>
        </w:tabs>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b/>
        </w:rPr>
        <w:t>B.</w:t>
        <w:tab/>
        <w:t>The Installed Capability Market Is Not Needed for Reliability</w:t>
      </w:r>
    </w:p>
    <w:p>
      <w:pPr>
        <w:pStyle w:val="Normal"/>
        <w:keepLines/>
        <w:tabs>
          <w:tab w:val="clear" w:pos="720"/>
          <w:tab w:val="left" w:pos="-1440" w:leader="none"/>
        </w:tabs>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 xml:space="preserve">Participants with an interest in receiving revenues in the Installed Capability market have argued that the market serves to insure reliability.  It does not.  The Installed Capability market as structured does not send meaningful price signals.  It will not, absent the exercise of market power, result in positive prices for Installed Capability.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pPr>
      <w:r>
        <w:rPr>
          <w:rFonts w:cs="ZapfHumnst BT;Lucida Sans Unicode" w:ascii="ZapfHumnst BT;Lucida Sans Unicode" w:hAnsi="ZapfHumnst BT;Lucida Sans Unicode"/>
        </w:rPr>
        <w:t>Moreover, the Installed Capability market provides a payment that distorts the signals generated by the energy and ancillary service markets.  By subsidizing the continued operation of inefficient units, and maintaining reserve capacity at or above the required reserve margin, spot prices are reduced below efficient levels.  Thus, the market signal to add new generation, and the right type of new generation, is muted.</w:t>
      </w:r>
      <w:r>
        <w:rPr>
          <w:rStyle w:val="FootnoteCharacters"/>
          <w:rStyle w:val="FootnoteReference"/>
          <w:rFonts w:cs="ZapfHumnst BT;Lucida Sans Unicode" w:ascii="ZapfHumnst BT;Lucida Sans Unicode" w:hAnsi="ZapfHumnst BT;Lucida Sans Unicode"/>
          <w:vertAlign w:val="superscript"/>
        </w:rPr>
        <w:footnoteReference w:id="14"/>
      </w:r>
      <w:r>
        <w:rPr>
          <w:rFonts w:cs="ZapfHumnst BT;Lucida Sans Unicode" w:ascii="ZapfHumnst BT;Lucida Sans Unicode" w:hAnsi="ZapfHumnst BT;Lucida Sans Unicode"/>
        </w:rPr>
        <w:t xml:space="preserve">  The Installed Capacity payment (when positive) is a monthly payment that ignores the actual structure of supply and demand, and subsidizes existing capacity independent of each generation unit’s characteristics or ability to contribute to reliability.  Conversely, proper energy and ancillary service prices provide revenue to various generation units with respect to the value of the services they produce.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pPr>
      <w:r>
        <w:rPr>
          <w:rFonts w:cs="ZapfHumnst BT;Lucida Sans Unicode" w:ascii="ZapfHumnst BT;Lucida Sans Unicode" w:hAnsi="ZapfHumnst BT;Lucida Sans Unicode"/>
        </w:rPr>
        <w:t>Private power producers have announced plans for 30,000 megawatts of additional capacity in New England.  While some of these plants will never materialize, Mr. Seabron Adamson, in testimony provided by certain generator Participants, notes:  “the high cost of many existing plants suggests that investment in new technologies could rapidly lower costs,”</w:t>
      </w:r>
      <w:r>
        <w:rPr>
          <w:rStyle w:val="FootnoteCharacters"/>
          <w:rStyle w:val="FootnoteReference"/>
          <w:rFonts w:cs="ZapfHumnst BT;Lucida Sans Unicode" w:ascii="ZapfHumnst BT;Lucida Sans Unicode" w:hAnsi="ZapfHumnst BT;Lucida Sans Unicode"/>
          <w:vertAlign w:val="superscript"/>
        </w:rPr>
        <w:footnoteReference w:id="15"/>
      </w:r>
      <w:r>
        <w:rPr>
          <w:rFonts w:cs="ZapfHumnst BT;Lucida Sans Unicode" w:ascii="ZapfHumnst BT;Lucida Sans Unicode" w:hAnsi="ZapfHumnst BT;Lucida Sans Unicode"/>
        </w:rPr>
        <w:t xml:space="preserve"> providing a sufficient incentive for new investment under a competitive market regime.  While some of these plants would replace existing facilities, there would be a sizeable inventory of older, less efficient plants with relatively low carrying charges which would be available for peaking purposes if capacity growth failed to keep up with peak demand growth.  In effect, if there is a demand squeeze, higher energy and ancillary services prices will provide incentives to keep older plants operating; if the new plants result in “excess” capacity, then lower prices will cause these older plants to be retired.  In addition, the elasticity of demand should increase as consumers learn to maximize their welfare through the use of technological means of load shifting and financial instruments for hedging and risk shifting.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 xml:space="preserve">The price in a competitive market for new capacity should be the difference between the capital cost of a new unit, including a competitive return on investment, and the net revenues that the unit can be expected to generate over its lifetime, normalized as a net carrying charge.  If well developed futures markets existed, the price of future capacity would eventually stabilize around the net carrying charge of new generation.  If markets provided sufficient revenues through prices of energy and ancillary services, this net carrying charge would equal zero.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The Energy market in New England appears to be robust and capable of sending appropriate price signals.  The reserve markets, however, are not designed to compensate all units providing reserves and can be expected to be biased toward low prices because of the incentives toward zero bids described above, except in times of shortage, when bids can rise arbitrarily.  This is especially critical for peaking units whose revenues must be derived principally from the reserve markets.  The ISO believes that better incentives for the construction and retention of peaking units in New England are needed.  It does not believe that the Installed Capability market provides these incentives.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b/>
        </w:rPr>
        <w:t>C.</w:t>
        <w:tab/>
        <w:t>The ISO Supports Termination of the Installed Capability Market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In summary, the Installed Capability market is structurally flawed.  As with the other accounting entry markets, there is no product with a real cost to drive the supply curve, and the demand curve is vertical, reflecting a fixed requirement that is the outgrowth of the prior regulatory regime.  The Installed Capability market as designed does not send effective price signals for the construction or retention of needed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The Installed Capability market is subject to manipulation.  The market as structured, and any market based on a short-term accounting entries, will be subject to the type of events that occurred in the January market.  While the market could function with price caps, the cap would be, at best, a regulatory estimate of the carrying cost of capacity.  An Installed Capability market with a price cap raises all the issues implicit in rate-of-return regulation with the added complexity that it requires an estimate of the return in the Energy and ancillary services markets to deduce the uncompensated residual.  With well-structured Energy and ancillary services markets, it is reasonable to expect that the carrying cost will be zero.  To the extent that the carrying cost is greater than zero, generators will have an incentive to retire capacity.  If the capacity is excess, that is the right signal.  If it is not, a forward market for reserves or energy should reflect impending scarcity and provide signals for construction of new capacity or retention of existing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pPr>
      <w:r>
        <w:rPr>
          <w:rFonts w:cs="ZapfHumnst BT;Lucida Sans Unicode" w:ascii="ZapfHumnst BT;Lucida Sans Unicode" w:hAnsi="ZapfHumnst BT;Lucida Sans Unicode"/>
        </w:rPr>
        <w:t>The ISO recommends that the Installed Capability market be terminated on June 1, 2000.  The ISO has not yet accepted Installed Capability bids for June.  In making this recommendation, the ISO is aware that there are existing bilateral agreements for sales and resales of Installed Capability.  The ISO does not know what the effect of termination of the market will have on these contracts.</w:t>
      </w:r>
      <w:r>
        <w:rPr>
          <w:rStyle w:val="FootnoteCharacters"/>
          <w:rStyle w:val="FootnoteReference"/>
          <w:rFonts w:cs="ZapfHumnst BT;Lucida Sans Unicode" w:ascii="ZapfHumnst BT;Lucida Sans Unicode" w:hAnsi="ZapfHumnst BT;Lucida Sans Unicode"/>
          <w:vertAlign w:val="superscript"/>
        </w:rPr>
        <w:footnoteReference w:id="16"/>
      </w:r>
      <w:r>
        <w:rPr>
          <w:rFonts w:cs="ZapfHumnst BT;Lucida Sans Unicode" w:ascii="ZapfHumnst BT;Lucida Sans Unicode" w:hAnsi="ZapfHumnst BT;Lucida Sans Unicod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rPr>
          <w:rFonts w:ascii="ZapfHumnst BT;Lucida Sans Unicode" w:hAnsi="ZapfHumnst BT;Lucida Sans Unicode" w:cs="ZapfHumnst BT;Lucida Sans Unicode"/>
        </w:rPr>
      </w:pPr>
      <w:r>
        <w:rPr>
          <w:rFonts w:cs="ZapfHumnst BT;Lucida Sans Unicode" w:ascii="ZapfHumnst BT;Lucida Sans Unicode" w:hAnsi="ZapfHumnst BT;Lucida Sans Unicode"/>
          <w:b/>
        </w:rPr>
        <w:t>III.</w:t>
        <w:tab/>
        <w:t>INTERRELATION WITH EXTERNAL CONTRACTS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pPr>
      <w:r>
        <w:rPr>
          <w:rFonts w:cs="ZapfHumnst BT;Lucida Sans Unicode" w:ascii="ZapfHumnst BT;Lucida Sans Unicode" w:hAnsi="ZapfHumnst BT;Lucida Sans Unicode"/>
        </w:rPr>
        <w:t>The problems in the Installed Capability market are spilling over into other markets.  Participants have sought to secure Installed Capability through external contracts.  External Installed Capability contracts must cover a full month and must be associated with an Energy 2 entitlement for at least the amount of megawatts of Installed Capability being sold for every hour during the month in question.</w:t>
      </w:r>
      <w:r>
        <w:rPr>
          <w:rStyle w:val="FootnoteCharacters"/>
          <w:rStyle w:val="FootnoteReference"/>
          <w:rFonts w:cs="ZapfHumnst BT;Lucida Sans Unicode" w:ascii="ZapfHumnst BT;Lucida Sans Unicode" w:hAnsi="ZapfHumnst BT;Lucida Sans Unicode"/>
          <w:vertAlign w:val="superscript"/>
        </w:rPr>
        <w:footnoteReference w:id="17"/>
      </w:r>
      <w:r>
        <w:rPr>
          <w:rFonts w:cs="ZapfHumnst BT;Lucida Sans Unicode" w:ascii="ZapfHumnst BT;Lucida Sans Unicode" w:hAnsi="ZapfHumnst BT;Lucida Sans Unicode"/>
        </w:rPr>
        <w:t xml:space="preserve">  Energy 2 is firm energy, not sold from a seller’s reserves, that can only be interrupted in certain emergency circumstances.</w:t>
      </w:r>
      <w:r>
        <w:rPr>
          <w:rStyle w:val="FootnoteCharacters"/>
          <w:rStyle w:val="FootnoteReference"/>
          <w:rFonts w:cs="ZapfHumnst BT;Lucida Sans Unicode" w:ascii="ZapfHumnst BT;Lucida Sans Unicode" w:hAnsi="ZapfHumnst BT;Lucida Sans Unicode"/>
          <w:vertAlign w:val="superscript"/>
        </w:rPr>
        <w:footnoteReference w:id="18"/>
      </w:r>
      <w:r>
        <w:rPr>
          <w:rFonts w:cs="ZapfHumnst BT;Lucida Sans Unicode" w:ascii="ZapfHumnst BT;Lucida Sans Unicode" w:hAnsi="ZapfHumnst BT;Lucida Sans Unicode"/>
        </w:rPr>
        <w:t xml:space="preserve">  However, Energy 2 contracts may be made dispatchable based on price.  The ISO has seen a proliferation of Energy 2 contracts associated with Installed Capability contracts in which the energy is dispatchable only at very high prices.</w:t>
      </w:r>
      <w:r>
        <w:rPr>
          <w:rStyle w:val="FootnoteCharacters"/>
          <w:rStyle w:val="FootnoteReference"/>
          <w:rFonts w:cs="ZapfHumnst BT;Lucida Sans Unicode" w:ascii="ZapfHumnst BT;Lucida Sans Unicode" w:hAnsi="ZapfHumnst BT;Lucida Sans Unicode"/>
          <w:vertAlign w:val="superscript"/>
        </w:rPr>
        <w:footnoteReference w:id="19"/>
      </w:r>
      <w:r>
        <w:rPr>
          <w:rFonts w:cs="ZapfHumnst BT;Lucida Sans Unicode" w:ascii="ZapfHumnst BT;Lucida Sans Unicode" w:hAnsi="ZapfHumnst BT;Lucida Sans Unicode"/>
        </w:rPr>
        <w:t xml:space="preserve">  These contracts are skirting the edge of the requirement for associated energy and are clearly intended principally to provide Installed Capability.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These contracts pose an operational problem for the ISO, because the ISO may be required to dispatch them in a reserve shortage.  OP8 requires that: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rPr>
          <w:rFonts w:ascii="ZapfHumnst BT;Lucida Sans Unicode" w:hAnsi="ZapfHumnst BT;Lucida Sans Unicode" w:cs="ZapfHumnst BT;Lucida Sans Unicode"/>
        </w:rPr>
      </w:pPr>
      <w:r>
        <w:rPr>
          <w:rFonts w:cs="ZapfHumnst BT;Lucida Sans Unicode" w:ascii="ZapfHumnst BT;Lucida Sans Unicode" w:hAnsi="ZapfHumnst BT;Lucida Sans Unicode"/>
        </w:rPr>
        <w:t>Every available resource of generating capability, including AGC resources, qualifying dispatchable and interruptible loads, and capability made available by other qualifying load management techniques shall be utilized in an effort to maintain the required Ten-Minute Reserves at all times.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ZapfHumnst BT;Lucida Sans Unicode" w:hAnsi="ZapfHumnst BT;Lucida Sans Unicode" w:cs="ZapfHumnst BT;Lucida Sans Unicode"/>
        </w:rPr>
      </w:pPr>
      <w:r>
        <w:rPr>
          <w:rFonts w:cs="ZapfHumnst BT;Lucida Sans Unicode" w:ascii="ZapfHumnst BT;Lucida Sans Unicode" w:hAnsi="ZapfHumnst BT;Lucida Sans Unicode"/>
        </w:rPr>
        <w:t>OP8 further requires that: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rPr>
          <w:rFonts w:ascii="ZapfHumnst BT;Lucida Sans Unicode" w:hAnsi="ZapfHumnst BT;Lucida Sans Unicode" w:cs="ZapfHumnst BT;Lucida Sans Unicode"/>
        </w:rPr>
      </w:pPr>
      <w:r>
        <w:rPr>
          <w:rFonts w:cs="ZapfHumnst BT;Lucida Sans Unicode" w:ascii="ZapfHumnst BT;Lucida Sans Unicode" w:hAnsi="ZapfHumnst BT;Lucida Sans Unicode"/>
        </w:rPr>
        <w:t>If available capability is insufficient to provide Operating Reserve, ISO New England will implement the various actions of OP4 to retain either Thirty</w:t>
        <w:noBreakHyphen/>
        <w:t>Minute Reserve or Ten-Minute Reserve.</w:t>
      </w:r>
      <w:r>
        <w:rPr>
          <w:rStyle w:val="FootnoteCharacters"/>
          <w:rStyle w:val="FootnoteReference"/>
          <w:rFonts w:cs="ZapfHumnst BT;Lucida Sans Unicode" w:ascii="ZapfHumnst BT;Lucida Sans Unicode" w:hAnsi="ZapfHumnst BT;Lucida Sans Unicode"/>
          <w:vertAlign w:val="superscript"/>
        </w:rPr>
        <w:footnoteReference w:id="20"/>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cs="ZapfHumnst BT;Lucida Sans Unicode" w:ascii="ZapfHumnst BT;Lucida Sans Unicode" w:hAnsi="ZapfHumnst BT;Lucida Sans Unicode"/>
        </w:rPr>
        <w:t>OP4 requires purchase of emergency energy before reducing any category of reserves.</w:t>
      </w:r>
      <w:r>
        <w:rPr>
          <w:rStyle w:val="FootnoteCharacters"/>
          <w:rStyle w:val="FootnoteReference"/>
          <w:rFonts w:cs="ZapfHumnst BT;Lucida Sans Unicode" w:ascii="ZapfHumnst BT;Lucida Sans Unicode" w:hAnsi="ZapfHumnst BT;Lucida Sans Unicode"/>
          <w:vertAlign w:val="superscript"/>
        </w:rPr>
        <w:footnoteReference w:id="21"/>
      </w:r>
      <w:r>
        <w:rPr>
          <w:rFonts w:cs="ZapfHumnst BT;Lucida Sans Unicode" w:ascii="ZapfHumnst BT;Lucida Sans Unicode" w:hAnsi="ZapfHumnst BT;Lucida Sans Unicode"/>
        </w:rPr>
        <w:t xml:space="preserve">  Although not explicitly stated, the ISO believes that under existing Market Rules and OPs it must purchase energy under available external contracts, thus freeing up internal units to provide reserves, before it reduces any category of reserves.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The bulk power system is expected to run short of reserves during OP4 conditions and may run short of spinning reserves for structural reasons during pick-up and ramp-down periods during the early morning and late afternoon.</w:t>
      </w:r>
      <w:r>
        <w:rPr>
          <w:rStyle w:val="FootnoteCharacters"/>
          <w:rStyle w:val="FootnoteReference"/>
          <w:rFonts w:cs="ZapfHumnst BT;Lucida Sans Unicode" w:ascii="ZapfHumnst BT;Lucida Sans Unicode" w:hAnsi="ZapfHumnst BT;Lucida Sans Unicode"/>
          <w:vertAlign w:val="superscript"/>
        </w:rPr>
        <w:footnoteReference w:id="22"/>
      </w:r>
      <w:r>
        <w:rPr>
          <w:rFonts w:cs="ZapfHumnst BT;Lucida Sans Unicode" w:ascii="ZapfHumnst BT;Lucida Sans Unicode" w:hAnsi="ZapfHumnst BT;Lucida Sans Unicode"/>
        </w:rPr>
        <w:t xml:space="preserve">  At these times, there may be reserve units with substantially lower energy prices than the external contracts.  Because the external contracts cannot serve as reserves under current rules, the ISO can be forced to take very high priced energy to preserve reserves.</w:t>
      </w:r>
      <w:r>
        <w:rPr>
          <w:rStyle w:val="FootnoteCharacters"/>
          <w:rStyle w:val="FootnoteReference"/>
          <w:rFonts w:cs="ZapfHumnst BT;Lucida Sans Unicode" w:ascii="ZapfHumnst BT;Lucida Sans Unicode" w:hAnsi="ZapfHumnst BT;Lucida Sans Unicode"/>
          <w:vertAlign w:val="superscript"/>
        </w:rPr>
        <w:footnoteReference w:id="23"/>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ZapfHumnst BT;Lucida Sans Unicode" w:hAnsi="ZapfHumnst BT;Lucida Sans Unicode" w:cs="ZapfHumnst BT;Lucida Sans Unicode"/>
        </w:rPr>
      </w:pPr>
      <w:r>
        <w:rPr>
          <w:rFonts w:cs="ZapfHumnst BT;Lucida Sans Unicode" w:ascii="ZapfHumnst BT;Lucida Sans Unicode" w:hAnsi="ZapfHumnst BT;Lucida Sans Unicode"/>
          <w:b/>
        </w:rPr>
        <w:t>IV.</w:t>
        <w:tab/>
        <w:t>ALTERNATIVES TO THE INSTALLED CAPABILITY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The ISO supports the prompt development of alternatives to the Installed Capability market.  In particular the ISO believes that the development of Reserve Markets based on demand curves as described in its March 31, 2000 CMS/MSS filing will substantially improve the current reserve markets.  The demand curve will both reduce vulnerability to gaming in times of shortage, and also provide appropriate levels of compensation to units providing reserves.  While the demand curve is an artificial construct, it is necessary because demand for reserves is an artificial construct.  The reserve demand is based on reliability requirements imposed by NERC and NEPOOL.  It represents a collective agreement on appropriate levels of a public good that would not be purchased by individual participants bidding freely.  The vertical demand curve imposed by the current reliability requirements and Market Rules gives rise to many of the current difficulties in the reserve markets.  The demand curve is a more sophisticated form of collective agreement on the appropriate level of a public good.  Appropriate price signals from the reserve markets are the most important inducement to providing capacity that is currently missing.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In addition to demand curves, the ISO believes that forward markets for reserves will provide incentives to invest in capacity by providing price signals with a time horizon related to the time frames needed for capacity decisions.  Once pricing in the real-time reserve market is established on a more stable basis, forward markets should be able to adequately address capacity needs without requiring that artificial capacity planning targets be established.  Forward purchase of reserves or options for reserves could target incentives to particular reserve products and hence to particular forms of capacity expected to be in short supply.  These forward purchases can be made by Participants without the need to establish a collective requirement for capacity.  The collective requirement for real-time reserves can be derived to a large extent from the engineering requirements of the bulk power system.  Needs for capacity investment are much less likely to be made correctly on the basis of collective agreement or regulatory fiat.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end="0"/>
        <w:rPr>
          <w:rFonts w:ascii="ZapfHumnst BT;Lucida Sans Unicode" w:hAnsi="ZapfHumnst BT;Lucida Sans Unicode" w:cs="ZapfHumnst BT;Lucida Sans Unicode"/>
        </w:rPr>
      </w:pPr>
      <w:r>
        <w:rPr>
          <w:rFonts w:cs="ZapfHumnst BT;Lucida Sans Unicode" w:ascii="ZapfHumnst BT;Lucida Sans Unicode" w:hAnsi="ZapfHumnst BT;Lucida Sans Unicode"/>
        </w:rPr>
        <w:t>Long-term options for reserves are real products with real costs associated with their delivery.  They will serve as a basis for an efficient market not subject to the pricing abnormalities associated with the current reserve and capacity markets.</w:t>
      </w:r>
    </w:p>
    <w:sectPr>
      <w:footerReference w:type="default" r:id="rId2"/>
      <w:footnotePr>
        <w:numFmt w:val="decimal"/>
      </w:footnotePr>
      <w:type w:val="nextPage"/>
      <w:pgSz w:w="12240" w:h="15840"/>
      <w:pgMar w:left="1440" w:right="1440" w:gutter="0" w:header="0" w:top="1440" w:footer="720" w:bottom="776"/>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COMMENT">
    <w:p>
      <w:pPr>
        <w:tabs>
          <w:tab w:val="center" w:pos="4680" w:leader="none"/>
        </w:tabs>
        <w:overflowPunct w:val="false"/>
        <w:bidi w:val="0"/>
        <w:rPr/>
      </w:pPr>
      <w:r>
        <w:annotationRef/>
      </w:r>
      <w:r>
        <w:rPr>
          <w:rFonts w:eastAsia="Times New Roman" w:ascii="ZapfHumnst BT;Lucida Sans Unicode" w:hAnsi="ZapfHumnst BT;Lucida Sans Unicode" w:cs="ZapfHumnst BT;Lucida Sans Unicode"/>
          <w:color w:val="auto"/>
          <w:sz w:val="24"/>
          <w:szCs w:val="20"/>
          <w:lang w:bidi="en-US" w:val="en-US" w:eastAsia="en-US"/>
        </w:rPr>
      </w:r>
      <w:r>
        <w:rPr>
          <w:rFonts w:eastAsia="Times New Roman" w:ascii="ZapfHumnst BT;Lucida Sans Unicode" w:hAnsi="ZapfHumnst BT;Lucida Sans Unicode" w:cs="ZapfHumnst BT;Lucida Sans Unicode"/>
          <w:b/>
          <w:color w:val="auto"/>
          <w:sz w:val="24"/>
          <w:szCs w:val="20"/>
          <w:lang w:bidi="en-US" w:val="en-US" w:eastAsia="en-US"/>
        </w:rPr>
        <w:t xml:space="preserve">DO NOT INSERT AUTOMATIC PARAGRAPH NUMBERING.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apfHumnst BT">
    <w:altName w:val="Lucida Sans Unicode"/>
    <w:charset w:val="00" w:characterSet="windows-1252"/>
    <w:family w:val="swiss"/>
    <w:pitch w:val="variable"/>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PHL_A 1370618 v 1</w: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15</w:t>
                    </w:r>
                    <w:r>
                      <w:rPr/>
                      <w:fldChar w:fldCharType="end"/>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1440" w:leader="none"/>
          <w:tab w:val="left" w:pos="-720" w:leader="none"/>
          <w:tab w:val="left" w:pos="0" w:leader="none"/>
          <w:tab w:val="left" w:pos="43" w:leader="none"/>
        </w:tabs>
        <w:spacing w:before="0" w:after="240"/>
        <w:ind w:hanging="720" w:start="720" w:end="0"/>
        <w:rPr/>
      </w:pPr>
      <w:r>
        <w:rPr>
          <w:rStyle w:val="FootnoteCharacters"/>
        </w:rPr>
        <w:footnoteRef/>
      </w:r>
      <w:r>
        <w:rPr>
          <w:rFonts w:cs="ZapfHumnst BT;Lucida Sans Unicode" w:ascii="ZapfHumnst BT;Lucida Sans Unicode" w:hAnsi="ZapfHumnst BT;Lucida Sans Unicode"/>
        </w:rPr>
        <w:tab/>
        <w:t>The increase in the cleared amount resulted from quantities that had previously been committed to the bilateral market trading in the residual market.  Some of these quantities were bid at zero, having no effect on clearing price, while others were bid much higher as described below.</w:t>
      </w:r>
    </w:p>
  </w:footnote>
  <w:footnote w:id="3">
    <w:p>
      <w:pPr>
        <w:pStyle w:val="Normal"/>
        <w:tabs>
          <w:tab w:val="clear" w:pos="720"/>
          <w:tab w:val="left" w:pos="-1440" w:leader="none"/>
          <w:tab w:val="left" w:pos="-720" w:leader="none"/>
          <w:tab w:val="left" w:pos="0" w:leader="none"/>
          <w:tab w:val="left" w:pos="43" w:leader="none"/>
        </w:tabs>
        <w:spacing w:before="0" w:after="240"/>
        <w:ind w:hanging="720" w:start="720" w:end="0"/>
        <w:rPr/>
      </w:pPr>
      <w:r>
        <w:rPr>
          <w:rStyle w:val="FootnoteCharacters"/>
        </w:rPr>
        <w:footnoteRef/>
      </w:r>
      <w:r>
        <w:rPr>
          <w:rFonts w:cs="ZapfHumnst BT;Lucida Sans Unicode" w:ascii="ZapfHumnst BT;Lucida Sans Unicode" w:hAnsi="ZapfHumnst BT;Lucida Sans Unicode"/>
        </w:rPr>
        <w:tab/>
        <w:t>By the time the ISO took mitigation action, the same Participant had submitted similar bids for similar quantities for February and March.  These bids were also mitigated to zero.</w:t>
      </w:r>
    </w:p>
  </w:footnote>
  <w:footnote w:id="4">
    <w:p>
      <w:pPr>
        <w:pStyle w:val="Normal"/>
        <w:tabs>
          <w:tab w:val="clear" w:pos="720"/>
          <w:tab w:val="left" w:pos="-1440" w:leader="none"/>
          <w:tab w:val="left" w:pos="-720" w:leader="none"/>
          <w:tab w:val="left" w:pos="0" w:leader="none"/>
          <w:tab w:val="left" w:pos="43" w:leader="none"/>
        </w:tabs>
        <w:spacing w:before="0" w:after="240"/>
        <w:ind w:hanging="720" w:start="720" w:end="0"/>
        <w:rPr/>
      </w:pPr>
      <w:r>
        <w:rPr>
          <w:rStyle w:val="FootnoteCharacters"/>
        </w:rPr>
        <w:footnoteRef/>
      </w:r>
      <w:r>
        <w:rPr>
          <w:rFonts w:cs="ZapfHumnst BT;Lucida Sans Unicode" w:ascii="ZapfHumnst BT;Lucida Sans Unicode" w:hAnsi="ZapfHumnst BT;Lucida Sans Unicode"/>
        </w:rPr>
        <w:tab/>
        <w:t>Market Rule 17, § I.C(d).</w:t>
      </w:r>
    </w:p>
  </w:footnote>
  <w:footnote w:id="5">
    <w:p>
      <w:pPr>
        <w:pStyle w:val="Normal"/>
        <w:tabs>
          <w:tab w:val="clear" w:pos="720"/>
          <w:tab w:val="left" w:pos="-1440" w:leader="none"/>
          <w:tab w:val="left" w:pos="-720" w:leader="none"/>
          <w:tab w:val="left" w:pos="0" w:leader="none"/>
          <w:tab w:val="left" w:pos="43" w:leader="none"/>
        </w:tabs>
        <w:spacing w:before="0" w:after="240"/>
        <w:ind w:hanging="720" w:start="720" w:end="0"/>
        <w:rPr/>
      </w:pPr>
      <w:r>
        <w:rPr>
          <w:rStyle w:val="FootnoteCharacters"/>
        </w:rPr>
        <w:footnoteRef/>
      </w:r>
      <w:r>
        <w:rPr>
          <w:rFonts w:cs="ZapfHumnst BT;Lucida Sans Unicode" w:ascii="ZapfHumnst BT;Lucida Sans Unicode" w:hAnsi="ZapfHumnst BT;Lucida Sans Unicode"/>
        </w:rPr>
        <w:tab/>
      </w:r>
      <w:r>
        <w:rPr>
          <w:rFonts w:cs="ZapfHumnst BT;Lucida Sans Unicode" w:ascii="ZapfHumnst BT;Lucida Sans Unicode" w:hAnsi="ZapfHumnst BT;Lucida Sans Unicode"/>
          <w:i/>
        </w:rPr>
        <w:t>See</w:t>
      </w:r>
      <w:r>
        <w:rPr>
          <w:rFonts w:cs="ZapfHumnst BT;Lucida Sans Unicode" w:ascii="ZapfHumnst BT;Lucida Sans Unicode" w:hAnsi="ZapfHumnst BT;Lucida Sans Unicode"/>
        </w:rPr>
        <w:t xml:space="preserve"> RNA § 57.5(e).</w:t>
      </w:r>
    </w:p>
  </w:footnote>
  <w:footnote w:id="6">
    <w:p>
      <w:pPr>
        <w:pStyle w:val="Normal"/>
        <w:tabs>
          <w:tab w:val="clear" w:pos="720"/>
          <w:tab w:val="left" w:pos="-1440" w:leader="none"/>
          <w:tab w:val="left" w:pos="-720" w:leader="none"/>
          <w:tab w:val="left" w:pos="0" w:leader="none"/>
          <w:tab w:val="left" w:pos="43" w:leader="none"/>
        </w:tabs>
        <w:spacing w:before="0" w:after="240"/>
        <w:ind w:hanging="720" w:start="720" w:end="0"/>
        <w:rPr/>
      </w:pPr>
      <w:r>
        <w:rPr>
          <w:rStyle w:val="FootnoteCharacters"/>
        </w:rPr>
        <w:footnoteRef/>
      </w:r>
      <w:r>
        <w:rPr>
          <w:rFonts w:cs="ZapfHumnst BT;Lucida Sans Unicode" w:ascii="ZapfHumnst BT;Lucida Sans Unicode" w:hAnsi="ZapfHumnst BT;Lucida Sans Unicode"/>
        </w:rPr>
        <w:tab/>
        <w:t>While it would be possible to design products that were not just accounting entries - such as true options to purchase energy or reserves - this was not done.</w:t>
      </w:r>
    </w:p>
  </w:footnote>
  <w:footnote w:id="7">
    <w:p>
      <w:pPr>
        <w:pStyle w:val="Normal"/>
        <w:tabs>
          <w:tab w:val="clear" w:pos="720"/>
          <w:tab w:val="left" w:pos="-1440" w:leader="none"/>
          <w:tab w:val="left" w:pos="-720" w:leader="none"/>
          <w:tab w:val="left" w:pos="0" w:leader="none"/>
          <w:tab w:val="left" w:pos="43" w:leader="none"/>
        </w:tabs>
        <w:spacing w:before="0" w:after="240"/>
        <w:ind w:hanging="720" w:start="720" w:end="0"/>
        <w:rPr/>
      </w:pPr>
      <w:r>
        <w:rPr>
          <w:rStyle w:val="FootnoteCharacters"/>
        </w:rPr>
        <w:footnoteRef/>
      </w:r>
      <w:r>
        <w:rPr>
          <w:rFonts w:cs="ZapfHumnst BT;Lucida Sans Unicode" w:ascii="ZapfHumnst BT;Lucida Sans Unicode" w:hAnsi="ZapfHumnst BT;Lucida Sans Unicode"/>
        </w:rPr>
        <w:tab/>
        <w:t>Units backed down to provide TMSR experience real opportunity costs and those costs are compensated in the TMSR market.  But the underlying bids, excluding opportunity costs, exhibit the same behavior.</w:t>
      </w:r>
    </w:p>
  </w:footnote>
  <w:footnote w:id="8">
    <w:p>
      <w:pPr>
        <w:pStyle w:val="Normal"/>
        <w:tabs>
          <w:tab w:val="clear" w:pos="720"/>
          <w:tab w:val="left" w:pos="-1440" w:leader="none"/>
          <w:tab w:val="left" w:pos="-720" w:leader="none"/>
          <w:tab w:val="left" w:pos="0" w:leader="none"/>
          <w:tab w:val="left" w:pos="43" w:leader="none"/>
        </w:tabs>
        <w:spacing w:before="0" w:after="240"/>
        <w:ind w:hanging="720" w:start="720" w:end="0"/>
        <w:rPr/>
      </w:pPr>
      <w:r>
        <w:rPr>
          <w:rStyle w:val="FootnoteCharacters"/>
        </w:rPr>
        <w:footnoteRef/>
      </w:r>
      <w:r>
        <w:rPr>
          <w:rFonts w:cs="ZapfHumnst BT;Lucida Sans Unicode" w:ascii="ZapfHumnst BT;Lucida Sans Unicode" w:hAnsi="ZapfHumnst BT;Lucida Sans Unicode"/>
        </w:rPr>
        <w:tab/>
        <w:t>There are small month-to-month costs involved in keeping a unit available to generate.  Any unit that regularly clears in the energy or reserve markets should cover these costs.   To decommission a generator and move it or mothball it in accordance with applicable environmental and safety regulations would generally cost substantially in excess of the one month savings.   In theory, long-term sales (six months or more) in the bilateral market may have a real opportunity cost because units may be commissioned or recover their costs of decommissioning in that time.  Requiring capacity adequacy six-months or a year in advance might serve as the basis for a real market.  However, as discussed below, the ISO would prefer markets based on true options.</w:t>
      </w:r>
    </w:p>
  </w:footnote>
  <w:footnote w:id="9">
    <w:p>
      <w:pPr>
        <w:pStyle w:val="Normal"/>
        <w:tabs>
          <w:tab w:val="clear" w:pos="720"/>
          <w:tab w:val="left" w:pos="-1440" w:leader="none"/>
          <w:tab w:val="left" w:pos="-720" w:leader="none"/>
          <w:tab w:val="left" w:pos="0" w:leader="none"/>
          <w:tab w:val="left" w:pos="43" w:leader="none"/>
        </w:tabs>
        <w:spacing w:before="0" w:after="240"/>
        <w:ind w:hanging="720" w:start="720" w:end="0"/>
        <w:rPr/>
      </w:pPr>
      <w:r>
        <w:rPr>
          <w:rStyle w:val="FootnoteCharacters"/>
        </w:rPr>
        <w:footnoteRef/>
      </w:r>
      <w:r>
        <w:rPr>
          <w:rFonts w:cs="ZapfHumnst BT;Lucida Sans Unicode" w:ascii="ZapfHumnst BT;Lucida Sans Unicode" w:hAnsi="ZapfHumnst BT;Lucida Sans Unicode"/>
        </w:rPr>
        <w:tab/>
        <w:t>The bilateral market for Installed Capability in March 2000 included 8,719 megawatts subject to contracts longer than a year, 11,738 megawatts subject to contracts longer than a month but not more than a year, and 7,443 megawatts subject to one month contracts.  The total of 27,900 slightly exceeds NEPOOL</w:t>
      </w:r>
      <w:r>
        <w:rPr>
          <w:rFonts w:cs="WP TypographicSymbols;Courier New" w:ascii="WP TypographicSymbols;Courier New" w:hAnsi="WP TypographicSymbols;Courier New"/>
        </w:rPr>
        <w:t>’</w:t>
      </w:r>
      <w:r>
        <w:rPr>
          <w:rFonts w:cs="ZapfHumnst BT;Lucida Sans Unicode" w:ascii="ZapfHumnst BT;Lucida Sans Unicode" w:hAnsi="ZapfHumnst BT;Lucida Sans Unicode"/>
        </w:rPr>
        <w:t>s entire installed capability, and represents (to a degree not possible to quantify)  the trading and retrading of the same megawatts.  The “Pool Deficiency” set forth in the table below represents the amount cleared in the residual market.</w:t>
      </w:r>
    </w:p>
  </w:footnote>
  <w:footnote w:id="10">
    <w:p>
      <w:pPr>
        <w:pStyle w:val="Normal"/>
        <w:tabs>
          <w:tab w:val="clear" w:pos="720"/>
          <w:tab w:val="left" w:pos="-1440" w:leader="none"/>
          <w:tab w:val="left" w:pos="-720" w:leader="none"/>
          <w:tab w:val="left" w:pos="0" w:leader="none"/>
          <w:tab w:val="left" w:pos="43" w:leader="none"/>
        </w:tabs>
        <w:ind w:hanging="720" w:start="720" w:end="0"/>
        <w:rPr/>
      </w:pPr>
      <w:r>
        <w:rPr>
          <w:rStyle w:val="FootnoteCharacters"/>
        </w:rPr>
        <w:footnoteRef/>
      </w:r>
      <w:r>
        <w:rPr>
          <w:rFonts w:cs="ZapfHumnst BT;Lucida Sans Unicode" w:ascii="ZapfHumnst BT;Lucida Sans Unicode" w:hAnsi="ZapfHumnst BT;Lucida Sans Unicode"/>
        </w:rPr>
        <w:tab/>
        <w:t>From www.iso-ne.com/ISO_Customer_Services/documents/Customer_Services/ICAP_Update/index.html, rounded to nearest Megawatt.</w:t>
        <w:tab/>
      </w:r>
    </w:p>
  </w:footnote>
  <w:footnote w:id="11">
    <w:p>
      <w:pPr>
        <w:pStyle w:val="Normal"/>
        <w:tabs>
          <w:tab w:val="clear" w:pos="720"/>
          <w:tab w:val="left" w:pos="-1440" w:leader="none"/>
          <w:tab w:val="left" w:pos="-720" w:leader="none"/>
          <w:tab w:val="left" w:pos="0" w:leader="none"/>
          <w:tab w:val="left" w:pos="43" w:leader="none"/>
        </w:tabs>
        <w:spacing w:before="0" w:after="240"/>
        <w:ind w:hanging="720" w:start="720" w:end="0"/>
        <w:rPr/>
      </w:pPr>
      <w:r>
        <w:rPr>
          <w:rStyle w:val="FootnoteCharacters"/>
        </w:rPr>
        <w:footnoteRef/>
      </w:r>
      <w:r>
        <w:rPr>
          <w:rFonts w:cs="ZapfHumnst BT;Lucida Sans Unicode" w:ascii="ZapfHumnst BT;Lucida Sans Unicode" w:hAnsi="ZapfHumnst BT;Lucida Sans Unicode"/>
        </w:rPr>
        <w:tab/>
        <w:t>The changes from September to October also reflect the change from Summer Period to Winter Period, when claimed capabilities are higher.  The changes from October to November also reflect a reduction of the Objective Capability requirement that took effect beginning in the new Power Year, which commenced in November.  (The beginning of the Power Year has subsequently been changed to June 1.)</w:t>
      </w:r>
    </w:p>
  </w:footnote>
  <w:footnote w:id="12">
    <w:p>
      <w:pPr>
        <w:pStyle w:val="Normal"/>
        <w:tabs>
          <w:tab w:val="clear" w:pos="720"/>
          <w:tab w:val="left" w:pos="-1440" w:leader="none"/>
          <w:tab w:val="left" w:pos="-720" w:leader="none"/>
          <w:tab w:val="left" w:pos="0" w:leader="none"/>
          <w:tab w:val="left" w:pos="43" w:leader="none"/>
        </w:tabs>
        <w:spacing w:before="0" w:after="240"/>
        <w:ind w:hanging="720" w:start="720" w:end="0"/>
        <w:rPr/>
      </w:pPr>
      <w:r>
        <w:rPr>
          <w:rStyle w:val="FootnoteCharacters"/>
        </w:rPr>
        <w:footnoteRef/>
      </w:r>
      <w:r>
        <w:rPr>
          <w:rFonts w:cs="ZapfHumnst BT;Lucida Sans Unicode" w:ascii="ZapfHumnst BT;Lucida Sans Unicode" w:hAnsi="ZapfHumnst BT;Lucida Sans Unicode"/>
        </w:rPr>
        <w:tab/>
      </w:r>
      <w:r>
        <w:rPr>
          <w:rFonts w:cs="ZapfHumnst BT;Lucida Sans Unicode" w:ascii="ZapfHumnst BT;Lucida Sans Unicode" w:hAnsi="ZapfHumnst BT;Lucida Sans Unicode"/>
          <w:i/>
        </w:rPr>
        <w:t>See w</w:t>
      </w:r>
      <w:r>
        <w:rPr>
          <w:rFonts w:cs="ZapfHumnst BT;Lucida Sans Unicode" w:ascii="ZapfHumnst BT;Lucida Sans Unicode" w:hAnsi="ZapfHumnst BT;Lucida Sans Unicode"/>
        </w:rPr>
        <w:t>ww.iso-ne.com/power_system/documents/net_claimed_capability_report.</w:t>
      </w:r>
    </w:p>
  </w:footnote>
  <w:footnote w:id="13">
    <w:p>
      <w:pPr>
        <w:pStyle w:val="Normal"/>
        <w:tabs>
          <w:tab w:val="clear" w:pos="720"/>
          <w:tab w:val="left" w:pos="-1440" w:leader="none"/>
          <w:tab w:val="left" w:pos="-720" w:leader="none"/>
          <w:tab w:val="left" w:pos="0" w:leader="none"/>
          <w:tab w:val="left" w:pos="43" w:leader="none"/>
        </w:tabs>
        <w:spacing w:before="0" w:after="240"/>
        <w:ind w:hanging="720" w:start="720" w:end="0"/>
        <w:rPr/>
      </w:pPr>
      <w:r>
        <w:rPr>
          <w:rStyle w:val="FootnoteCharacters"/>
        </w:rPr>
        <w:footnoteRef/>
      </w:r>
      <w:r>
        <w:rPr>
          <w:rFonts w:cs="ZapfHumnst BT;Lucida Sans Unicode" w:ascii="ZapfHumnst BT;Lucida Sans Unicode" w:hAnsi="ZapfHumnst BT;Lucida Sans Unicode"/>
        </w:rPr>
        <w:tab/>
        <w:t>Price stability at a positive price could only be achieved in the Installed Capability market as designed, through a combination of overt or tacit collusion combined with forbearance from raising prices by Participants with substantial excesses.  As a result, no meaningful price signals can be expected from the Installed Capability auction.</w:t>
      </w:r>
    </w:p>
  </w:footnote>
  <w:footnote w:id="14">
    <w:p>
      <w:pPr>
        <w:pStyle w:val="Normal"/>
        <w:tabs>
          <w:tab w:val="clear" w:pos="720"/>
          <w:tab w:val="left" w:pos="-1440" w:leader="none"/>
          <w:tab w:val="left" w:pos="-720" w:leader="none"/>
          <w:tab w:val="left" w:pos="0" w:leader="none"/>
          <w:tab w:val="left" w:pos="43" w:leader="none"/>
        </w:tabs>
        <w:ind w:hanging="720" w:start="720" w:end="0"/>
        <w:rPr/>
      </w:pPr>
      <w:r>
        <w:rPr>
          <w:rStyle w:val="FootnoteCharacters"/>
        </w:rPr>
        <w:footnoteRef/>
      </w:r>
      <w:r>
        <w:rPr>
          <w:rFonts w:cs="ZapfHumnst BT;Lucida Sans Unicode" w:ascii="ZapfHumnst BT;Lucida Sans Unicode" w:hAnsi="ZapfHumnst BT;Lucida Sans Unicode"/>
        </w:rPr>
        <w:tab/>
        <w:t>A generator bidding its variable costs in the energy market and clearing near the margin (setting or nearly setting the clearing price) might not, absent Installed Capability payments (say from a long term bilateral contract) earn revenues sufficient to keep it in business.  Absent the Installed Capability payment it would either shut down or submit higher Energy bids.  If those bids no longer cleared it would shut down.  By continuing to bid near the margin, it reduces energy clearing prices.</w:t>
      </w:r>
    </w:p>
    <w:p>
      <w:pPr>
        <w:pStyle w:val="Normal"/>
        <w:tabs>
          <w:tab w:val="clear" w:pos="720"/>
          <w:tab w:val="left" w:pos="-1440" w:leader="none"/>
          <w:tab w:val="left" w:pos="-720" w:leader="none"/>
          <w:tab w:val="left" w:pos="0" w:leader="none"/>
          <w:tab w:val="left" w:pos="43" w:leader="none"/>
        </w:tabs>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footnote>
  <w:footnote w:id="15">
    <w:p>
      <w:pPr>
        <w:pStyle w:val="Normal"/>
        <w:tabs>
          <w:tab w:val="clear" w:pos="720"/>
          <w:tab w:val="left" w:pos="-1440" w:leader="none"/>
          <w:tab w:val="left" w:pos="-720" w:leader="none"/>
          <w:tab w:val="left" w:pos="0" w:leader="none"/>
          <w:tab w:val="left" w:pos="43" w:leader="none"/>
        </w:tabs>
        <w:ind w:hanging="720" w:start="720" w:end="0"/>
        <w:rPr/>
      </w:pPr>
      <w:r>
        <w:rPr>
          <w:rStyle w:val="FootnoteCharacters"/>
        </w:rPr>
        <w:footnoteRef/>
      </w:r>
      <w:r>
        <w:rPr>
          <w:rFonts w:cs="ZapfHumnst BT;Lucida Sans Unicode" w:ascii="ZapfHumnst BT;Lucida Sans Unicode" w:hAnsi="ZapfHumnst BT;Lucida Sans Unicode"/>
        </w:rPr>
        <w:tab/>
        <w:t>Prepared Direct Testimony of Seabron Adamson, Exhibit SG-2 to the filing of certain “Supporting Generators</w:t>
      </w:r>
      <w:r>
        <w:rPr>
          <w:rFonts w:cs="WP TypographicSymbols;Courier New" w:ascii="WP TypographicSymbols;Courier New" w:hAnsi="WP TypographicSymbols;Courier New"/>
        </w:rPr>
        <w:t>”</w:t>
      </w:r>
      <w:r>
        <w:rPr>
          <w:rFonts w:cs="ZapfHumnst BT;Lucida Sans Unicode" w:ascii="ZapfHumnst BT;Lucida Sans Unicode" w:hAnsi="ZapfHumnst BT;Lucida Sans Unicode"/>
        </w:rPr>
        <w:t xml:space="preserve"> (as defined therein), dated March 30, 2000, Docket ER00-2106-000 (the “Adamson Testimony</w:t>
      </w:r>
      <w:r>
        <w:rPr>
          <w:rFonts w:cs="WP TypographicSymbols;Courier New" w:ascii="WP TypographicSymbols;Courier New" w:hAnsi="WP TypographicSymbols;Courier New"/>
        </w:rPr>
        <w:t>”)</w:t>
      </w:r>
      <w:r>
        <w:rPr>
          <w:rFonts w:cs="ZapfHumnst BT;Lucida Sans Unicode" w:ascii="ZapfHumnst BT;Lucida Sans Unicode" w:hAnsi="ZapfHumnst BT;Lucida Sans Unicode"/>
        </w:rPr>
        <w:t>, at 87.</w:t>
      </w:r>
    </w:p>
  </w:footnote>
  <w:footnote w:id="16">
    <w:p>
      <w:pPr>
        <w:pStyle w:val="Normal"/>
        <w:tabs>
          <w:tab w:val="clear" w:pos="720"/>
          <w:tab w:val="left" w:pos="-1440" w:leader="none"/>
          <w:tab w:val="left" w:pos="-720" w:leader="none"/>
          <w:tab w:val="left" w:pos="0" w:leader="none"/>
          <w:tab w:val="left" w:pos="43" w:leader="none"/>
        </w:tabs>
        <w:ind w:hanging="720" w:start="720" w:end="0"/>
        <w:rPr/>
      </w:pPr>
      <w:r>
        <w:rPr>
          <w:rStyle w:val="FootnoteCharacters"/>
        </w:rPr>
        <w:footnoteRef/>
      </w:r>
      <w:r>
        <w:rPr>
          <w:rFonts w:cs="ZapfHumnst BT;Lucida Sans Unicode" w:ascii="ZapfHumnst BT;Lucida Sans Unicode" w:hAnsi="ZapfHumnst BT;Lucida Sans Unicode"/>
        </w:rPr>
        <w:tab/>
        <w:t>Depending on how contracts are structured, and how termination is couched, the payment obligations may or may not survive the termination of the market.</w:t>
      </w:r>
    </w:p>
    <w:p>
      <w:pPr>
        <w:pStyle w:val="Normal"/>
        <w:tabs>
          <w:tab w:val="clear" w:pos="720"/>
          <w:tab w:val="left" w:pos="-1440" w:leader="none"/>
          <w:tab w:val="left" w:pos="-720" w:leader="none"/>
          <w:tab w:val="left" w:pos="0" w:leader="none"/>
          <w:tab w:val="left" w:pos="43" w:leader="none"/>
        </w:tabs>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footnote>
  <w:footnote w:id="17">
    <w:p>
      <w:pPr>
        <w:pStyle w:val="Normal"/>
        <w:tabs>
          <w:tab w:val="clear" w:pos="720"/>
          <w:tab w:val="left" w:pos="-1440" w:leader="none"/>
          <w:tab w:val="left" w:pos="-720" w:leader="none"/>
          <w:tab w:val="left" w:pos="0" w:leader="none"/>
          <w:tab w:val="left" w:pos="43" w:leader="none"/>
        </w:tabs>
        <w:ind w:hanging="720" w:start="720" w:end="0"/>
        <w:rPr/>
      </w:pPr>
      <w:r>
        <w:rPr>
          <w:rStyle w:val="FootnoteCharacters"/>
        </w:rPr>
        <w:footnoteRef/>
      </w:r>
      <w:r>
        <w:rPr>
          <w:rFonts w:cs="ZapfHumnst BT;Lucida Sans Unicode" w:ascii="ZapfHumnst BT;Lucida Sans Unicode" w:hAnsi="ZapfHumnst BT;Lucida Sans Unicode"/>
        </w:rPr>
        <w:tab/>
        <w:t>Market Rule 12, Appendix 12-B-3, § B.III(a)</w:t>
      </w:r>
    </w:p>
    <w:p>
      <w:pPr>
        <w:pStyle w:val="Normal"/>
        <w:tabs>
          <w:tab w:val="clear" w:pos="720"/>
          <w:tab w:val="left" w:pos="-1440" w:leader="none"/>
          <w:tab w:val="left" w:pos="-720" w:leader="none"/>
          <w:tab w:val="left" w:pos="0" w:leader="none"/>
          <w:tab w:val="left" w:pos="43" w:leader="none"/>
        </w:tabs>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footnote>
  <w:footnote w:id="18">
    <w:p>
      <w:pPr>
        <w:pStyle w:val="Normal"/>
        <w:tabs>
          <w:tab w:val="clear" w:pos="720"/>
          <w:tab w:val="left" w:pos="-1440" w:leader="none"/>
          <w:tab w:val="left" w:pos="-720" w:leader="none"/>
          <w:tab w:val="left" w:pos="0" w:leader="none"/>
          <w:tab w:val="left" w:pos="43" w:leader="none"/>
        </w:tabs>
        <w:ind w:hanging="720" w:start="720" w:end="0"/>
        <w:rPr/>
      </w:pPr>
      <w:r>
        <w:rPr>
          <w:rStyle w:val="FootnoteCharacters"/>
        </w:rPr>
        <w:footnoteRef/>
      </w:r>
      <w:r>
        <w:rPr>
          <w:rFonts w:cs="ZapfHumnst BT;Lucida Sans Unicode" w:ascii="ZapfHumnst BT;Lucida Sans Unicode" w:hAnsi="ZapfHumnst BT;Lucida Sans Unicode"/>
        </w:rPr>
        <w:tab/>
        <w:t>Market Rule 12, Appendix 12.B.2, § B.II(d)</w:t>
      </w:r>
    </w:p>
    <w:p>
      <w:pPr>
        <w:pStyle w:val="Normal"/>
        <w:tabs>
          <w:tab w:val="clear" w:pos="720"/>
          <w:tab w:val="left" w:pos="-1440" w:leader="none"/>
          <w:tab w:val="left" w:pos="-720" w:leader="none"/>
          <w:tab w:val="left" w:pos="0" w:leader="none"/>
          <w:tab w:val="left" w:pos="43" w:leader="none"/>
        </w:tabs>
        <w:rPr>
          <w:rFonts w:ascii="ZapfHumnst BT;Lucida Sans Unicode" w:hAnsi="ZapfHumnst BT;Lucida Sans Unicode" w:cs="ZapfHumnst BT;Lucida Sans Unicode"/>
        </w:rPr>
      </w:pPr>
      <w:r>
        <w:rPr>
          <w:rFonts w:cs="ZapfHumnst BT;Lucida Sans Unicode" w:ascii="ZapfHumnst BT;Lucida Sans Unicode" w:hAnsi="ZapfHumnst BT;Lucida Sans Unicode"/>
        </w:rPr>
      </w:r>
    </w:p>
  </w:footnote>
  <w:footnote w:id="19">
    <w:p>
      <w:pPr>
        <w:pStyle w:val="Normal"/>
        <w:tabs>
          <w:tab w:val="clear" w:pos="720"/>
          <w:tab w:val="left" w:pos="-1440" w:leader="none"/>
          <w:tab w:val="left" w:pos="-720" w:leader="none"/>
          <w:tab w:val="left" w:pos="0" w:leader="none"/>
          <w:tab w:val="left" w:pos="43" w:leader="none"/>
        </w:tabs>
        <w:ind w:hanging="720" w:start="720" w:end="0"/>
        <w:rPr/>
      </w:pPr>
      <w:r>
        <w:rPr>
          <w:rStyle w:val="FootnoteCharacters"/>
        </w:rPr>
        <w:footnoteRef/>
      </w:r>
      <w:r>
        <w:rPr>
          <w:rFonts w:cs="ZapfHumnst BT;Lucida Sans Unicode" w:ascii="ZapfHumnst BT;Lucida Sans Unicode" w:hAnsi="ZapfHumnst BT;Lucida Sans Unicode"/>
        </w:rPr>
        <w:tab/>
        <w:t>A number of contracts carry Energy prices in the vicinity of $10,000 per megawatt hour.</w:t>
      </w:r>
    </w:p>
  </w:footnote>
  <w:footnote w:id="20">
    <w:p>
      <w:pPr>
        <w:pStyle w:val="Normal"/>
        <w:tabs>
          <w:tab w:val="clear" w:pos="720"/>
          <w:tab w:val="left" w:pos="-1440" w:leader="none"/>
          <w:tab w:val="left" w:pos="-720" w:leader="none"/>
          <w:tab w:val="left" w:pos="0" w:leader="none"/>
          <w:tab w:val="left" w:pos="43" w:leader="none"/>
        </w:tabs>
        <w:ind w:hanging="720" w:start="720" w:end="0"/>
        <w:rPr/>
      </w:pPr>
      <w:r>
        <w:rPr>
          <w:rStyle w:val="FootnoteCharacters"/>
        </w:rPr>
        <w:footnoteRef/>
      </w:r>
      <w:r>
        <w:rPr>
          <w:rFonts w:cs="ZapfHumnst BT;Lucida Sans Unicode" w:ascii="ZapfHumnst BT;Lucida Sans Unicode" w:hAnsi="ZapfHumnst BT;Lucida Sans Unicode"/>
        </w:rPr>
        <w:tab/>
        <w:t>OP8, § III.IV.</w:t>
      </w:r>
    </w:p>
  </w:footnote>
  <w:footnote w:id="21">
    <w:p>
      <w:pPr>
        <w:pStyle w:val="Normal"/>
        <w:tabs>
          <w:tab w:val="clear" w:pos="720"/>
          <w:tab w:val="left" w:pos="-1440" w:leader="none"/>
          <w:tab w:val="left" w:pos="-720" w:leader="none"/>
          <w:tab w:val="left" w:pos="0" w:leader="none"/>
          <w:tab w:val="left" w:pos="43" w:leader="none"/>
        </w:tabs>
        <w:ind w:hanging="720" w:start="720" w:end="0"/>
        <w:rPr/>
      </w:pPr>
      <w:r>
        <w:rPr>
          <w:rStyle w:val="FootnoteCharacters"/>
        </w:rPr>
        <w:footnoteRef/>
      </w:r>
      <w:r>
        <w:rPr>
          <w:rFonts w:cs="ZapfHumnst BT;Lucida Sans Unicode" w:ascii="ZapfHumnst BT;Lucida Sans Unicode" w:hAnsi="ZapfHumnst BT;Lucida Sans Unicode"/>
        </w:rPr>
        <w:tab/>
        <w:t>OP4, § II.I.</w:t>
      </w:r>
    </w:p>
  </w:footnote>
  <w:footnote w:id="22">
    <w:p>
      <w:pPr>
        <w:pStyle w:val="Normal"/>
        <w:tabs>
          <w:tab w:val="clear" w:pos="720"/>
          <w:tab w:val="left" w:pos="-1440" w:leader="none"/>
          <w:tab w:val="left" w:pos="-720" w:leader="none"/>
          <w:tab w:val="left" w:pos="0" w:leader="none"/>
          <w:tab w:val="left" w:pos="43" w:leader="none"/>
        </w:tabs>
        <w:ind w:hanging="720" w:start="720" w:end="0"/>
        <w:rPr/>
      </w:pPr>
      <w:r>
        <w:rPr>
          <w:rStyle w:val="FootnoteCharacters"/>
        </w:rPr>
        <w:footnoteRef/>
      </w:r>
      <w:r>
        <w:rPr>
          <w:rFonts w:cs="ZapfHumnst BT;Lucida Sans Unicode" w:ascii="ZapfHumnst BT;Lucida Sans Unicode" w:hAnsi="ZapfHumnst BT;Lucida Sans Unicode"/>
        </w:rPr>
        <w:tab/>
        <w:t>See the ISO’s filing, dated April 21, 2000, in response to the generators</w:t>
      </w:r>
      <w:r>
        <w:rPr>
          <w:rFonts w:cs="WP TypographicSymbols;Courier New" w:ascii="WP TypographicSymbols;Courier New" w:hAnsi="WP TypographicSymbols;Courier New"/>
        </w:rPr>
        <w:t>’</w:t>
      </w:r>
      <w:r>
        <w:rPr>
          <w:rFonts w:cs="ZapfHumnst BT;Lucida Sans Unicode" w:ascii="ZapfHumnst BT;Lucida Sans Unicode" w:hAnsi="ZapfHumnst BT;Lucida Sans Unicode"/>
        </w:rPr>
        <w:t xml:space="preserve"> CMS/MSS filing (Docket No. ER00-2016-000), at 15.</w:t>
      </w:r>
    </w:p>
  </w:footnote>
  <w:footnote w:id="23">
    <w:p>
      <w:pPr>
        <w:pStyle w:val="Normal"/>
        <w:tabs>
          <w:tab w:val="clear" w:pos="720"/>
          <w:tab w:val="left" w:pos="-1440" w:leader="none"/>
          <w:tab w:val="left" w:pos="-720" w:leader="none"/>
          <w:tab w:val="left" w:pos="0" w:leader="none"/>
          <w:tab w:val="left" w:pos="43" w:leader="none"/>
        </w:tabs>
        <w:ind w:hanging="720" w:start="720" w:end="0"/>
        <w:rPr/>
      </w:pPr>
      <w:r>
        <w:rPr>
          <w:rStyle w:val="FootnoteCharacters"/>
        </w:rPr>
        <w:footnoteRef/>
      </w:r>
      <w:r>
        <w:rPr>
          <w:rFonts w:cs="ZapfHumnst BT;Lucida Sans Unicode" w:ascii="ZapfHumnst BT;Lucida Sans Unicode" w:hAnsi="ZapfHumnst BT;Lucida Sans Unicode"/>
        </w:rPr>
        <w:tab/>
        <w:t>This possible discontinuity in energy prices would be largely resolved by the adoption of demand curves in the reserve markets.   See the ISO</w:t>
      </w:r>
      <w:r>
        <w:rPr>
          <w:rFonts w:cs="WP TypographicSymbols;Courier New" w:ascii="WP TypographicSymbols;Courier New" w:hAnsi="WP TypographicSymbols;Courier New"/>
        </w:rPr>
        <w:t>’</w:t>
      </w:r>
      <w:r>
        <w:rPr>
          <w:rFonts w:cs="ZapfHumnst BT;Lucida Sans Unicode" w:ascii="ZapfHumnst BT;Lucida Sans Unicode" w:hAnsi="ZapfHumnst BT;Lucida Sans Unicode"/>
        </w:rPr>
        <w:t>s CMS/MSS filing, dated March 31, 2000, at 50.</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
    <w:name w:val="footnote ref"/>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2000-05-03T19:31:00Z</dcterms:created>
  <dc:creator>Shafferman</dc:creator>
  <dc:description/>
  <dc:language>en-CA</dc:language>
  <cp:lastModifiedBy>Cindy Harris</cp:lastModifiedBy>
  <dcterms:modified xsi:type="dcterms:W3CDTF">2000-05-03T19:31:00Z</dcterms:modified>
  <cp:revision>2</cp:revision>
  <dc:subject/>
  <dc:title/>
</cp:coreProperties>
</file>