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INTERCOMPANY FINANCIALLY-SETTLED AGREEMENTS</w:t>
      </w:r>
    </w:p>
    <w:p>
      <w:pPr>
        <w:pStyle w:val="Heading"/>
        <w:ind w:start="-1080" w:end="0"/>
        <w:rPr/>
      </w:pPr>
      <w:r>
        <w:rPr/>
      </w:r>
    </w:p>
    <w:tbl>
      <w:tblPr>
        <w:tblW w:w="1026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1980"/>
        <w:gridCol w:w="3240"/>
        <w:gridCol w:w="216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ISDA Interest Rate and Currency Exchange Agreement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Access Corporation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Corp.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Liquids,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Hub Trading, Inc.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Processing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Hub Trading,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Finance Corp.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Hub Trading,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Methonol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Power Services,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Houston Pipe Line Company </w:t>
            </w:r>
            <w:r>
              <w:rPr>
                <w:b/>
                <w:bCs/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Interest rate &amp; currency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(Local Currency-Single Jurisdiction)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JEDI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Capital &amp; Trade Resources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Development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ERMS </w:t>
            </w:r>
            <w:r>
              <w:rPr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EOG Resources, Inc.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Joint Energy Development Investments Limited Partnership (JEDI)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VIII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XIV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XVIII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IX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Chiricahua X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Compagnie de Papiers Stadacona Ltee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Compression Projects Finance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East Sour Lake Exploration &amp; Production L.P.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 continued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ECT Investments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Investments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ECT Merchant Investments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ECT Strategic Value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Strategic Value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EGP Fuels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 Upstream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Australia Finance Pty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ECC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Canada Power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Global Resources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Enron Capital &amp; Trade Resources Canada Corp. </w:t>
            </w:r>
            <w:r>
              <w:rPr>
                <w:i/>
                <w:iCs/>
                <w:sz w:val="18"/>
              </w:rPr>
              <w:t>(n/k/a Enron Canada Corp.)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Capital &amp; Trade Resources International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International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ECT International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Capital &amp; Trade Resources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Capital &amp; Trade Resources Singapore Pte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Comercializadora de Energia Argentina S.A.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Development Funding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ECC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Direct Canada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Energy Services,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Engineering &amp; Construction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Europe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Europe Liquids Processing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Europe Liquids Processing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Finance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Liquids,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ERMS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Services Canada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Gas &amp; Petrochemicals Trading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Global Exploration &amp; Production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International Holdings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International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Media Services, L.P.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Metall Recycling GmbH &amp; Co. KG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Metals &amp; Commodity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Methanol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MW, L.L.C.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NetherlandsHolding B.V.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Contract Type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Affiliate/Counterparty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Product(s)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ISDA Master Agreement (Multicurrency-Cross Border) continued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Petrochemicals, B.V.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Power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>
          <w:trHeight w:val="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Power Marketing,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>
          <w:trHeight w:val="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Reserve Acquisition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Reserve Acquistion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Enron South America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Teesside Operations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Garden State Paper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Garden State Paper Company,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Compression Projects Finance, Ltd. 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Hanover/Enron Venezuela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Houston Pipe Line Company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HPL Resources Company </w:t>
            </w:r>
            <w:r>
              <w:rPr>
                <w:i/>
                <w:iCs/>
                <w:sz w:val="18"/>
              </w:rPr>
              <w:t>(no longer an Enron affiliate)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Joint Energy Development Investments II Limited Partnership  (JEDI II)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Louisiana Resources Pipeline Company Limited Partnership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Northern Natural Gas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Protane Corporation (The)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ECT International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Risk Management &amp;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Star VVP, LP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Sutton Bridge Financing Limited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Sutton Bridge Power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Commodties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Teesside Power Financing Ltd.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Transwestern Pipeline Company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Tularosa LLC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Risk Management &amp;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Commodities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Agreement (ECT)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ECT </w:t>
            </w:r>
            <w:r>
              <w:rPr>
                <w:b/>
                <w:bCs/>
                <w:i/>
                <w:iCs/>
                <w:sz w:val="18"/>
              </w:rPr>
              <w:t>(n/k/a ENA)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Citrus Trading Corp.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Swap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Enron Hub Trading, Inc.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Enron Gas Marketing Canada Inc.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Energy Commodities only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Risk Transfer Enabling Agreement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Enron Capital &amp; Trade Resources Corp. </w:t>
            </w:r>
            <w:r>
              <w:rPr>
                <w:i/>
                <w:iCs/>
                <w:sz w:val="18"/>
              </w:rPr>
              <w:t>(n/k/a Enron North America Corp.)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2002-01-25T13:56:00Z</dcterms:created>
  <dc:creator>Susan Bailey</dc:creator>
  <dc:description/>
  <dc:language>en-CA</dc:language>
  <cp:lastModifiedBy>Susan Bailey</cp:lastModifiedBy>
  <dcterms:modified xsi:type="dcterms:W3CDTF">2002-02-04T20:42:00Z</dcterms:modified>
  <cp:revision>8</cp:revision>
  <dc:subject/>
  <dc:title>INTERCOMPANY FINANCIALLY-SETTLED AGREEMENTS</dc:title>
</cp:coreProperties>
</file>