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October 10,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Canary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transmission by-pass and power supply arrangement to TransAlta's Highvale Coal Mine.  Confidentiality Agreement executed.  MOU and Exclusivity Agreement under negotiation.  Tied to settlement of PPA billing issues and TAU’s consent to splitting PPA.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Don Miller</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Sale of a separate Unit PPA.  Letter received from the Government allowing “split” of Unit PPAs.  Met with Legislative Counsel.  Draft regulation and split PPAs prepared and provided for Government review.  Meetings held with TAU and Balancing Pool.  TAU and Balancing Pool provided with Consent forms and forms of split PPAs.  Preparing drafts of CIM, Master Due Diligence Index and draft sale documentation.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monetization structures, regulatory and market rule issues, system access and transmission issues, market surveillance, operational, environmental and billing issues with TAU, etc.  Notice of arbitration sent to TransAlta re: outstanding billing issues.  Ongoing negotiations to settle billing issues pre-arbitration.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December 31, 2002.  Amending Agreement executed.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with various counterparties to hedge British Energy position.</w:t>
            </w:r>
          </w:p>
          <w:p>
            <w:pPr>
              <w:pStyle w:val="Normal"/>
              <w:jc w:val="both"/>
              <w:rPr>
                <w:rFonts w:ascii="Arial" w:hAnsi="Arial" w:cs="Arial"/>
              </w:rPr>
            </w:pPr>
            <w:r>
              <w:rPr>
                <w:rFonts w:cs="Arial" w:ascii="Arial" w:hAnsi="Arial"/>
              </w:rPr>
              <w:t>36 MW, 3-year contract executed with Sunoco (not yet extended).</w:t>
            </w:r>
          </w:p>
          <w:p>
            <w:pPr>
              <w:pStyle w:val="Normal"/>
              <w:jc w:val="both"/>
              <w:rPr>
                <w:rFonts w:ascii="Arial" w:hAnsi="Arial" w:cs="Arial"/>
              </w:rPr>
            </w:pPr>
            <w:r>
              <w:rPr>
                <w:rFonts w:cs="Arial" w:ascii="Arial" w:hAnsi="Arial"/>
              </w:rPr>
              <w:t>100 MW, 2-year contract executed with TransCanada Energy (not yet extended).</w:t>
            </w:r>
          </w:p>
          <w:p>
            <w:pPr>
              <w:pStyle w:val="Normal"/>
              <w:jc w:val="both"/>
              <w:rPr>
                <w:rFonts w:ascii="Arial" w:hAnsi="Arial" w:cs="Arial"/>
              </w:rPr>
            </w:pPr>
            <w:r>
              <w:rPr>
                <w:rFonts w:cs="Arial" w:ascii="Arial" w:hAnsi="Arial"/>
              </w:rPr>
              <w:t>48 MW, 3-year contract executed with IVACO (extension circulated for execution).</w:t>
            </w:r>
          </w:p>
          <w:p>
            <w:pPr>
              <w:pStyle w:val="Normal"/>
              <w:jc w:val="both"/>
              <w:rPr>
                <w:rFonts w:ascii="Arial" w:hAnsi="Arial" w:cs="Arial"/>
              </w:rPr>
            </w:pPr>
            <w:r>
              <w:rPr>
                <w:rFonts w:cs="Arial" w:ascii="Arial" w:hAnsi="Arial"/>
              </w:rPr>
              <w:t>30 MW, 3-year contract executed with Atlantic Packaging (extension executed).</w:t>
            </w:r>
          </w:p>
          <w:p>
            <w:pPr>
              <w:pStyle w:val="Normal"/>
              <w:jc w:val="both"/>
              <w:rPr>
                <w:rFonts w:ascii="Arial" w:hAnsi="Arial" w:cs="Arial"/>
              </w:rPr>
            </w:pPr>
            <w:r>
              <w:rPr>
                <w:rFonts w:cs="Arial" w:ascii="Arial" w:hAnsi="Arial"/>
              </w:rPr>
              <w:t>13 MW 3-year contract with Premstar near execution (backed financially).</w:t>
            </w:r>
          </w:p>
          <w:p>
            <w:pPr>
              <w:pStyle w:val="Normal"/>
              <w:jc w:val="both"/>
              <w:rPr>
                <w:rFonts w:ascii="Arial" w:hAnsi="Arial" w:cs="Arial"/>
              </w:rPr>
            </w:pPr>
            <w:r>
              <w:rPr>
                <w:rFonts w:cs="Arial" w:ascii="Arial" w:hAnsi="Arial"/>
              </w:rPr>
              <w:t>25/40/55 MW, 3-year contract with Domtar executed.</w:t>
            </w:r>
          </w:p>
          <w:p>
            <w:pPr>
              <w:pStyle w:val="Normal"/>
              <w:jc w:val="both"/>
              <w:rPr>
                <w:rFonts w:ascii="Arial" w:hAnsi="Arial" w:cs="Arial"/>
              </w:rPr>
            </w:pPr>
            <w:r>
              <w:rPr>
                <w:rFonts w:cs="Arial" w:ascii="Arial" w:hAnsi="Arial"/>
              </w:rPr>
              <w:t>Commenced negotiations with Royal Technologies (50 MW) and Casco Inc. (11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Amended and restated agreement has been executed.  MEU Extension letter agreements executed.  Preparing replacement documentation for new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Closed September 20,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Deal Summary and Operating Policies to be prepared.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Executed Agreement with Sunoco (3 yr. term) and Domtar (3 yr. term).  Execution copies of Ivaco agreement have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$.06 ($2.9MM) dividend approved.  Final dividend and insolvency discharge application set for September 7,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Discussions currently with various potential purchasers regarding the acquisition either of the turbines or the project (turbines, queue position, land option, permitting).  Turbine purchase agreements have been distributed to some of the potential buyers for review.  U.S. Department of Energy permit application regarding the international power line has been submitted and is being reviewed.  NEB permit application is being finalized for submission.  Turbines are being transferred to ENA.</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N/A</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 w:val="left" w:pos="252" w:leader="none"/>
              </w:tabs>
              <w:jc w:val="both"/>
              <w:rPr/>
            </w:pPr>
            <w:r>
              <w:rPr>
                <w:rFonts w:eastAsia="Symbol" w:cs="Symbol" w:ascii="Symbol" w:hAnsi="Symbol"/>
              </w:rPr>
              <w:sym w:font="Symbol" w:char="f0b7"/>
            </w:r>
            <w:r>
              <w:rPr>
                <w:rFonts w:cs="Arial" w:ascii="Arial" w:hAnsi="Arial"/>
              </w:rPr>
              <w:tab/>
              <w:t>Globalization of set-off language being implemented.</w:t>
            </w:r>
          </w:p>
          <w:p>
            <w:pPr>
              <w:pStyle w:val="Header"/>
              <w:tabs>
                <w:tab w:val="clear" w:pos="4320"/>
                <w:tab w:val="clear" w:pos="8640"/>
                <w:tab w:val="left" w:pos="252" w:leader="none"/>
              </w:tabs>
              <w:jc w:val="both"/>
              <w:rPr/>
            </w:pPr>
            <w:r>
              <w:rPr>
                <w:rFonts w:eastAsia="Symbol" w:cs="Symbol" w:ascii="Symbol" w:hAnsi="Symbol"/>
              </w:rPr>
              <w:sym w:font="Symbol" w:char="f0b7"/>
            </w:r>
            <w:r>
              <w:rPr>
                <w:rFonts w:cs="Arial" w:ascii="Arial" w:hAnsi="Arial"/>
              </w:rPr>
              <w:tab/>
              <w:t>Globalization of default language under consideration.</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2002</w:t>
            </w:r>
          </w:p>
        </w:tc>
        <w:tc>
          <w:tcPr>
            <w:tcW w:w="5490" w:type="dxa"/>
            <w:tcBorders>
              <w:top w:val="dashSmallGap" w:sz="8"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  Draft form circulated to market participants for comment.</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p>
            <w:pPr>
              <w:pStyle w:val="Normal"/>
              <w:jc w:val="both"/>
              <w:rPr>
                <w:rFonts w:ascii="Arial" w:hAnsi="Arial" w:cs="Arial"/>
              </w:rPr>
            </w:pPr>
            <w:r>
              <w:rPr>
                <w:rFonts w:cs="Arial" w:ascii="Arial" w:hAnsi="Arial"/>
              </w:rPr>
              <w:t>Chris Lambie</w:t>
            </w:r>
          </w:p>
          <w:p>
            <w:pPr>
              <w:pStyle w:val="Normal"/>
              <w:jc w:val="both"/>
              <w:rPr>
                <w:rFonts w:ascii="Arial" w:hAnsi="Arial" w:cs="Arial"/>
              </w:rPr>
            </w:pPr>
            <w:r>
              <w:rPr>
                <w:rFonts w:cs="Arial" w:ascii="Arial" w:hAnsi="Arial"/>
              </w:rPr>
              <w:t>Chad Clark</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N/A</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new delivery point, force majeure and deficiency default language for British Columbia gas sales.</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N/A</w:t>
            </w:r>
          </w:p>
          <w:p>
            <w:pPr>
              <w:pStyle w:val="Normal"/>
              <w:jc w:val="both"/>
              <w:rPr>
                <w:rFonts w:ascii="Arial" w:hAnsi="Arial" w:cs="Arial"/>
              </w:rPr>
            </w:pPr>
            <w:r>
              <w:rPr>
                <w:rFonts w:cs="Arial" w:ascii="Arial" w:hAnsi="Arial"/>
              </w:rPr>
              <w:t>N/A</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N/A</w:t>
            </w:r>
          </w:p>
          <w:p>
            <w:pPr>
              <w:pStyle w:val="Normal"/>
              <w:jc w:val="both"/>
              <w:rPr>
                <w:rFonts w:ascii="Arial" w:hAnsi="Arial" w:cs="Arial"/>
              </w:rPr>
            </w:pPr>
            <w:r>
              <w:rPr>
                <w:rFonts w:cs="Arial" w:ascii="Arial" w:hAnsi="Arial"/>
              </w:rPr>
              <w:t>N/A</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Master Netting, Set-Off and Collateral Agreement.</w:t>
            </w:r>
          </w:p>
          <w:p>
            <w:pPr>
              <w:pStyle w:val="Header"/>
              <w:tabs>
                <w:tab w:val="clear" w:pos="4320"/>
                <w:tab w:val="clear" w:pos="8640"/>
              </w:tabs>
              <w:jc w:val="both"/>
              <w:rPr>
                <w:rFonts w:ascii="Arial" w:hAnsi="Arial" w:cs="Arial"/>
              </w:rPr>
            </w:pPr>
            <w:r>
              <w:rPr>
                <w:rFonts w:cs="Arial" w:ascii="Arial" w:hAnsi="Arial"/>
              </w:rPr>
              <w:t>Preparation of wholesale commodity products/confirmations addressing retail issues for use under wholesale Master Agreements,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Derek Flaman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vMerge w:val="restart"/>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and electricity contracts.  Reviewing, commenting and amending proposed mechanics of infrastructure service for natural gas and power through regulatory hearings dealing with the distribution companies and applicable regulators.  Acquiring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Ontario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Derek Flaman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vMerge w:val="continue"/>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both"/>
              <w:rPr>
                <w:rFonts w:ascii="Arial" w:hAnsi="Arial" w:cs="Arial"/>
              </w:rPr>
            </w:pPr>
            <w:r>
              <w:rPr>
                <w:rFonts w:cs="Arial" w:ascii="Arial" w:hAnsi="Arial"/>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Canada Co.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Derek Flaman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Scott Campbell</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Restructuring of Enron Direct Limited Partnership completed on a corporate level.  Coordinating transfer with the Power Pool and the WSPs with anticipated effective date of Oct. 1, 2001, review of existing contractual obligations of EES Canada Co. Ltd.  Processing assignments/transfers/re-issuances, etc. relating to the foregoing.</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Competition Law Seminar – To be scheduled for 2001.  Ontario seminar scheduled for September 2001 (Peter Keohane/Chris Gaffney).</w:t>
      </w:r>
    </w:p>
    <w:p>
      <w:pPr>
        <w:pStyle w:val="Normal"/>
        <w:numPr>
          <w:ilvl w:val="0"/>
          <w:numId w:val="1"/>
        </w:numPr>
        <w:jc w:val="both"/>
        <w:rPr>
          <w:rFonts w:ascii="Arial" w:hAnsi="Arial" w:cs="Arial"/>
          <w:sz w:val="22"/>
        </w:rPr>
      </w:pPr>
      <w:r>
        <w:rPr>
          <w:rFonts w:cs="Arial" w:ascii="Arial" w:hAnsi="Arial"/>
        </w:rPr>
        <w:t>Legal Trading Seminar (Gas and Power) - To be scheduled for September 2001 (Greg Johnston).</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/mnt/main-storage/datasets/enron-docs/doc/finance36.report.doc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/mnt/main-storage/datasets/enron-docs/doc/finance36.report.doc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2001-10-10T15:31:00Z</dcterms:created>
  <dc:creator>Linda Sietzema</dc:creator>
  <dc:description/>
  <dc:language>en-CA</dc:language>
  <cp:lastModifiedBy>scrawfo3</cp:lastModifiedBy>
  <cp:lastPrinted>2001-10-10T12:01:00Z</cp:lastPrinted>
  <dcterms:modified xsi:type="dcterms:W3CDTF">2001-10-10T15:31:00Z</dcterms:modified>
  <cp:revision>3</cp:revision>
  <dc:subject/>
  <dc:title>Legal Transaction Status Report – Enron NA</dc:title>
</cp:coreProperties>
</file>