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May 11,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Redford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Potential sale or origination transactions with market participants for the PPA.  Meetings have been held.  Counterparties conducting commercial due diligence.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term extension and fee restructuring.  Letter agreement executed.  Redrafting Outsourcing Agreement.  Awaiting finalization of "incentive fee" negotiations.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Numerous ongoing activities respecting monetization structures, regulatory and market rule issues, system access and transmission issues, market surveillance, Change of Law insurance, operational, environmental and billing issues with TAU,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  Negotiating extension of market opening condition precedent to December, 2002.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Royal Technologies (50 MW); Casco Inc. (11 MW), Domtar (20+ MW), Terra (10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2 large Ontario Municipal Electrical Utilities.  Enron Canada to provide services and exclusive wholesale electricity supply.  Enron Canada to take either a 60% equity share in the G-6 or 20% equity interest with option to acquire an additional 30%.  Definitive Agreements being negotiated.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Commencing on 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Negotiating market opening extension.  Once extended, a marketing campaign to resign MEUs will commence.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Vendor contracts regarding the supply of various components to complete the manufacture of one beta unit by July 2001 have all been executed and manufacturing is proceeding as expected.  Currently marketing test unit and beta unit for sale.  Ongoing legal review of all marketing, employment and contractual documentation.  Enron has agreed to provide legal services to AMPS for the first six months of its operation, which services agreement expires August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Conducting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Darren Cross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and electricity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Asset transferred to Enron Global Markets.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May 15,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Share purchase agreement has been executed regarding the acquisition by The Wiser Oil Company of all issued and outstanding shares of Invasion plus the Enron Debt and Enron Royalty for total consideration of C$56MM.  Closing is scheduled for May 15,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Cadillac Fairview, Magna, Terra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June 30,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Actual assignments to satisfy conditions precedent to Assignment of long-term transportation capacity from Shell to Sierra through ECC/ENA complete. Negotiating amendments allowing for modification of one component of assignments to allow Shell to permanently assign component to a 3</w:t>
            </w:r>
            <w:r>
              <w:rPr>
                <w:rFonts w:cs="Arial" w:ascii="Arial" w:hAnsi="Arial"/>
                <w:vertAlign w:val="superscript"/>
              </w:rPr>
              <w:t>rd</w:t>
            </w:r>
            <w:r>
              <w:rPr>
                <w:rFonts w:cs="Arial" w:ascii="Arial" w:hAnsi="Arial"/>
              </w:rPr>
              <w:t xml:space="preserve"> Party.</w:t>
            </w:r>
          </w:p>
        </w:tc>
      </w:tr>
      <w:tr>
        <w:trPr/>
        <w:tc>
          <w:tcPr>
            <w:tcW w:w="217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Have 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Have 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jc w:val="both"/>
              <w:rPr>
                <w:rFonts w:ascii="Arial" w:hAnsi="Arial" w:cs="Arial"/>
              </w:rPr>
            </w:pPr>
            <w:r>
              <w:rPr>
                <w:rFonts w:cs="Arial" w:ascii="Arial" w:hAnsi="Arial"/>
              </w:rPr>
              <w:t>Have completed physical gas and power forms for Enron Direct Canada.  Financial trading within Enron Direct Canada under consideration.</w:t>
            </w:r>
          </w:p>
          <w:p>
            <w:pPr>
              <w:pStyle w:val="Header"/>
              <w:tabs>
                <w:tab w:val="clear" w:pos="4320"/>
                <w:tab w:val="clear" w:pos="8640"/>
              </w:tabs>
              <w:jc w:val="both"/>
              <w:rPr>
                <w:rFonts w:ascii="Arial" w:hAnsi="Arial" w:cs="Arial"/>
              </w:rPr>
            </w:pPr>
            <w:r>
              <w:rPr>
                <w:rFonts w:cs="Arial" w:ascii="Arial" w:hAnsi="Arial"/>
              </w:rPr>
              <w:t>Global customization of set-off language under consideration.</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Complaint filed and meeting held with Market Surveillance Administrator regarding the Balancing Pool’s Clover Bar offer strategy (Peter Keohane).  No response yet.</w:t>
      </w:r>
    </w:p>
    <w:p>
      <w:pPr>
        <w:pStyle w:val="Normal"/>
        <w:numPr>
          <w:ilvl w:val="0"/>
          <w:numId w:val="1"/>
        </w:numPr>
        <w:jc w:val="both"/>
        <w:rPr>
          <w:rFonts w:ascii="Arial" w:hAnsi="Arial" w:cs="Arial"/>
        </w:rPr>
      </w:pPr>
      <w:r>
        <w:rPr>
          <w:rFonts w:cs="Arial" w:ascii="Arial" w:hAnsi="Arial"/>
        </w:rPr>
        <w:t>Competition Law Seminar – Completed for Calgary, December 4, 2000; completed for Toronto, May, 2001 (Peter Keohane/Chris Gaffney).</w:t>
      </w:r>
    </w:p>
    <w:p>
      <w:pPr>
        <w:pStyle w:val="Normal"/>
        <w:numPr>
          <w:ilvl w:val="0"/>
          <w:numId w:val="1"/>
        </w:numPr>
        <w:jc w:val="both"/>
        <w:rPr>
          <w:rFonts w:ascii="Arial" w:hAnsi="Arial" w:cs="Arial"/>
          <w:sz w:val="22"/>
        </w:rPr>
      </w:pPr>
      <w:r>
        <w:rPr>
          <w:rFonts w:cs="Arial" w:ascii="Arial" w:hAnsi="Arial"/>
        </w:rPr>
        <w:t>NGX/Canadian Enerdata litigation (Peter Keohane) – Final settlement offer under consideration.</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/mnt/main-storage/datasets/enron-docs/doc/finance25.report.doc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/mnt/main-storage/datasets/enron-docs/doc/finance25.report.doc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2001-05-09T16:41:00Z</dcterms:created>
  <dc:creator>Linda Sietzema</dc:creator>
  <dc:description/>
  <dc:language>en-CA</dc:language>
  <cp:lastModifiedBy>scrawfo3</cp:lastModifiedBy>
  <cp:lastPrinted>2001-05-11T11:42:00Z</cp:lastPrinted>
  <dcterms:modified xsi:type="dcterms:W3CDTF">2001-05-11T15:12:00Z</dcterms:modified>
  <cp:revision>7</cp:revision>
  <dc:subject/>
  <dc:title>Legal Transaction Status Report – Enron NA</dc:title>
</cp:coreProperties>
</file>