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April 27, 2001</w:t>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blHeader w:val="true"/>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Redford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Potential sale or origination with market participants for one-half (one Unit) of the PPA.  Meetings have been held.  Counterparties conducting commercial due diligence.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WalMart Power Supply Arrangement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Darren Cross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May 1,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power supply arrangement to Alberta stores.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Co-op Power Supply Arrangement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Shawn Anderson</w:t>
            </w:r>
          </w:p>
          <w:p>
            <w:pPr>
              <w:pStyle w:val="Normal"/>
              <w:rPr>
                <w:rFonts w:ascii="Arial" w:hAnsi="Arial" w:cs="Arial"/>
              </w:rPr>
            </w:pPr>
            <w:r>
              <w:rPr>
                <w:rFonts w:cs="Arial" w:ascii="Arial" w:hAnsi="Arial"/>
              </w:rPr>
              <w:t>Jason Biever</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Completed</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5-year, 14MW retail supply arrangement to 127 store chain of supermarkets through Enron Direct (power sourced through ECC and ECPC under the PPA)</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Petro-Canada Outsourcing Arrangement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Eric LeDain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5-year term extension and fee restructuring.  Letter agreement executed.  Redrafting Outsourcing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Numerous ongoing activities respecting trading and origination opportunities, monetization structures, regulatory and market rule issues, system access and transmission issues, market surveillance, Change of Law insurance, etc.</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Ontario market deregulation by November 30, 2001.  Negotiating market opening extension for May 2002.</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conditional on Ontario market deregulation by November 30, 2001, being discussed with various counterparties to hedge British Energy position.</w:t>
            </w:r>
          </w:p>
          <w:p>
            <w:pPr>
              <w:pStyle w:val="Normal"/>
              <w:jc w:val="both"/>
              <w:rPr>
                <w:rFonts w:ascii="Arial" w:hAnsi="Arial" w:cs="Arial"/>
              </w:rPr>
            </w:pPr>
            <w:r>
              <w:rPr>
                <w:rFonts w:cs="Arial" w:ascii="Arial" w:hAnsi="Arial"/>
              </w:rPr>
              <w:t>36 MW, 3-year contract executed with Sunoco.</w:t>
            </w:r>
          </w:p>
          <w:p>
            <w:pPr>
              <w:pStyle w:val="Normal"/>
              <w:jc w:val="both"/>
              <w:rPr>
                <w:rFonts w:ascii="Arial" w:hAnsi="Arial" w:cs="Arial"/>
              </w:rPr>
            </w:pPr>
            <w:r>
              <w:rPr>
                <w:rFonts w:cs="Arial" w:ascii="Arial" w:hAnsi="Arial"/>
              </w:rPr>
              <w:t>100 MW, 2-year contract executed with TransCanada Energy.</w:t>
            </w:r>
          </w:p>
          <w:p>
            <w:pPr>
              <w:pStyle w:val="Normal"/>
              <w:jc w:val="both"/>
              <w:rPr>
                <w:rFonts w:ascii="Arial" w:hAnsi="Arial" w:cs="Arial"/>
              </w:rPr>
            </w:pPr>
            <w:r>
              <w:rPr>
                <w:rFonts w:cs="Arial" w:ascii="Arial" w:hAnsi="Arial"/>
              </w:rPr>
              <w:t>Negotiating market opening extension for May 2002.</w:t>
            </w:r>
          </w:p>
          <w:p>
            <w:pPr>
              <w:pStyle w:val="Normal"/>
              <w:jc w:val="both"/>
              <w:rPr>
                <w:rFonts w:ascii="Arial" w:hAnsi="Arial" w:cs="Arial"/>
              </w:rPr>
            </w:pPr>
            <w:r>
              <w:rPr>
                <w:rFonts w:cs="Arial" w:ascii="Arial" w:hAnsi="Arial"/>
              </w:rPr>
              <w:t>48 MW, 3-year contract executed with IVACO.</w:t>
            </w:r>
          </w:p>
          <w:p>
            <w:pPr>
              <w:pStyle w:val="Normal"/>
              <w:jc w:val="both"/>
              <w:rPr>
                <w:rFonts w:ascii="Arial" w:hAnsi="Arial" w:cs="Arial"/>
              </w:rPr>
            </w:pPr>
            <w:r>
              <w:rPr>
                <w:rFonts w:cs="Arial" w:ascii="Arial" w:hAnsi="Arial"/>
              </w:rPr>
              <w:t>Commenced negotiations with Casco Inc. (11 MW), Domtar (20+ MW), Terra (10 MW) and Atlantic Packaging (30+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Helv;Arial" w:ascii="Helv;Arial" w:hAnsi="Helv;Arial"/>
                <w:color w:val="000000"/>
              </w:rPr>
              <w:t>G-6 Energy Corp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Helv;Arial" w:ascii="Helv;Arial" w:hAnsi="Helv;Arial"/>
                <w:color w:val="000000"/>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Helv;Arial" w:hAnsi="Helv;Arial" w:cs="Helv;Arial"/>
                <w:color w:val="000000"/>
              </w:rPr>
            </w:pPr>
            <w:r>
              <w:rPr>
                <w:rFonts w:cs="Helv;Arial" w:ascii="Helv;Arial" w:hAnsi="Helv;Arial"/>
                <w:color w:val="000000"/>
              </w:rPr>
              <w:t>Paul DeVries</w:t>
            </w:r>
          </w:p>
          <w:p>
            <w:pPr>
              <w:pStyle w:val="Normal"/>
              <w:jc w:val="both"/>
              <w:rPr>
                <w:rFonts w:ascii="Arial" w:hAnsi="Arial" w:cs="Arial"/>
              </w:rPr>
            </w:pPr>
            <w:r>
              <w:rPr>
                <w:rFonts w:cs="Helv;Arial" w:ascii="Helv;Arial" w:hAnsi="Helv;Arial"/>
                <w:color w:val="000000"/>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Helv;Arial" w:ascii="Helv;Arial" w:hAnsi="Helv;Arial"/>
                <w:color w:val="000000"/>
              </w:rPr>
              <w:t>2nd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Helv;Arial" w:ascii="Helv;Arial" w:hAnsi="Helv;Arial"/>
                <w:color w:val="000000"/>
              </w:rPr>
              <w:t>Structured transaction forming a retail electricity provider with 2 large Ontario Municipal Electrical Utilities.  Enron Canada to provide services and exclusive wholesale electricity supply.  Enron Canada to take a 60% equity share in the G-6.  Definitive Agreements being revised to reflect new structure.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Commencing on 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retail electricity services and alliance agreement.  Negotiating market opening extension.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Closed funding and structuring of Advanced Mobile Power Systems, with ENA obtaining an 85% interest.  ENA assets have been transferred into AMPS.  Vendor contracts regarding the supply of various components to complete the manufacture of one beta unit by July 2001 have all been executed.  Staffing of AMPS is underway.  Currently marketing test unit for sale.  Ongoing legal review of all marketing, employment and contractual documentation.  Enron has agreed to provide legal services to AMPS for the first six months of its operation.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awarded RFP.  Due diligence and negotiation of Definitive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Darren Cross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electricity and natural gas affiliate for Canadian jurisdictions.  Developing and negotiating retail gas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Asset transferred to Enron Global Markets.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May 15,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C$56MM offer received from Wiser Oil Company.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2nd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including Cadillac Fairview, Magna, Terra and Ivaco.  Executed Agreement with Sunoco (3 yr. term).</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Final $.05 ($2.5MM) dividend anticipated for Q2 or Q3,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has been submitted and is being reviewed.  NEB permit application is being finalized for submission.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Shell/Sierra Pacific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Barry Tycholiz</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May 31,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Preparing and coordinating actual assignments to satisfy conditions precedent to Assignment of long-term transportation capacity from Shell to Sierra through ECC/ENA.</w:t>
            </w:r>
          </w:p>
        </w:tc>
      </w:tr>
      <w:tr>
        <w:trPr/>
        <w:tc>
          <w:tcPr>
            <w:tcW w:w="2178" w:type="dxa"/>
            <w:vMerge w:val="restart"/>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Forms</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Mary Cook</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dashSmallGap" w:sz="8" w:space="0" w:color="000000"/>
              <w:end w:val="single" w:sz="4" w:space="0" w:color="000000"/>
            </w:tcBorders>
          </w:tcPr>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w:t>
            </w:r>
          </w:p>
        </w:tc>
        <w:tc>
          <w:tcPr>
            <w:tcW w:w="5490" w:type="dxa"/>
            <w:tcBorders>
              <w:top w:val="single" w:sz="4" w:space="0" w:color="000000"/>
              <w:start w:val="single" w:sz="4" w:space="0" w:color="000000"/>
              <w:bottom w:val="dashSmallGap" w:sz="8"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Have prepared a form of one-off physical power supply agreement, based upon our Canadian form of Master Agreement.</w:t>
            </w:r>
          </w:p>
          <w:p>
            <w:pPr>
              <w:pStyle w:val="Header"/>
              <w:tabs>
                <w:tab w:val="clear" w:pos="4320"/>
                <w:tab w:val="clear" w:pos="8640"/>
              </w:tabs>
              <w:jc w:val="both"/>
              <w:rPr>
                <w:rFonts w:ascii="Arial" w:hAnsi="Arial" w:cs="Arial"/>
              </w:rPr>
            </w:pPr>
            <w:r>
              <w:rPr>
                <w:rFonts w:cs="Arial" w:ascii="Arial" w:hAnsi="Arial"/>
              </w:rPr>
              <w:t>Have revived “industrial” Master Agreement as alternative to ISDA Master Agreement for limited use with industrial counterparties, for small volumes, gas/power only, and no cross-border, cross-currency issues.</w:t>
            </w:r>
          </w:p>
        </w:tc>
      </w:tr>
      <w:tr>
        <w:trPr/>
        <w:tc>
          <w:tcPr>
            <w:tcW w:w="217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Garrett Tripp</w:t>
            </w:r>
          </w:p>
        </w:tc>
        <w:tc>
          <w:tcPr>
            <w:tcW w:w="1710" w:type="dxa"/>
            <w:tcBorders>
              <w:top w:val="dashSmallGap" w:sz="8"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dashSmallGap" w:sz="8"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Ontario standard physical (power) master agreement with committee of Ontario market participants based on EEI form.</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Ongoing consultations/disputes with Alberta Government regarding Sundance B PPA, Market Rule Changes and No Harm Commitment (Peter Keohane).  Complaint filed with Market Surveillance Administrator regarding the Balancing Pool’s Clover Bar offer strategy (Peter Keohane).</w:t>
      </w:r>
    </w:p>
    <w:p>
      <w:pPr>
        <w:pStyle w:val="Normal"/>
        <w:numPr>
          <w:ilvl w:val="0"/>
          <w:numId w:val="1"/>
        </w:numPr>
        <w:jc w:val="both"/>
        <w:rPr>
          <w:rFonts w:ascii="Arial" w:hAnsi="Arial" w:cs="Arial"/>
        </w:rPr>
      </w:pPr>
      <w:r>
        <w:rPr>
          <w:rFonts w:cs="Arial" w:ascii="Arial" w:hAnsi="Arial"/>
        </w:rPr>
        <w:t>Competition Law Seminar – Completed for Calgary, December 4, 2000; scheduled for Toronto for May, 2001 (Peter Keohane/Chris Gaffney).</w:t>
      </w:r>
    </w:p>
    <w:p>
      <w:pPr>
        <w:pStyle w:val="Normal"/>
        <w:numPr>
          <w:ilvl w:val="0"/>
          <w:numId w:val="1"/>
        </w:numPr>
        <w:jc w:val="both"/>
        <w:rPr>
          <w:rFonts w:ascii="Arial" w:hAnsi="Arial" w:cs="Arial"/>
          <w:sz w:val="22"/>
        </w:rPr>
      </w:pPr>
      <w:r>
        <w:rPr>
          <w:rFonts w:cs="Arial" w:ascii="Arial" w:hAnsi="Arial"/>
        </w:rPr>
        <w:t>NGX/Canadian Enerdata litigation (Peter Keohane) – Settlement discussions ongoing.</w:t>
      </w:r>
    </w:p>
    <w:sectPr>
      <w:headerReference w:type="default" r:id="rId2"/>
      <w:headerReference w:type="first" r:id="rId3"/>
      <w:footerReference w:type="default" r:id="rId4"/>
      <w:footerReference w:type="first" r:id="rId5"/>
      <w:type w:val="nextPage"/>
      <w:pgSz w:orient="landscape" w:w="15840" w:h="12240"/>
      <w:pgMar w:left="1440" w:right="1440" w:gutter="0" w:header="720" w:top="77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/mnt/main-storage/datasets/enron-docs/doc/finance24.report.doc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/mnt/main-storage/datasets/enron-docs/doc/finance24.report.doc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jc w:val="end"/>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6480" w:leader="none"/>
        <w:tab w:val="right" w:pos="129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2001-04-25T13:11:00Z</dcterms:created>
  <dc:creator>Linda Sietzema</dc:creator>
  <dc:description/>
  <dc:language>en-CA</dc:language>
  <cp:lastModifiedBy>scrawfo3</cp:lastModifiedBy>
  <cp:lastPrinted>2001-04-27T13:07:00Z</cp:lastPrinted>
  <dcterms:modified xsi:type="dcterms:W3CDTF">2001-04-27T16:37:00Z</dcterms:modified>
  <cp:revision>6</cp:revision>
  <dc:subject/>
  <dc:title>Legal Transaction Status Report – Enron NA</dc:title>
</cp:coreProperties>
</file>