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February 16, 2001</w:t>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Market deregulation commenced January 1, 2001.  Negotiating with Wire Service Providers the necessary amendments to allow for transacting to consumption points and negotiating with the Power Pool of Alberta to amend rules to allow for a liquid market for electricity at the Pool level.</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 xml:space="preserve">Enron Canada Power Corp. acquired </w:t>
            </w:r>
            <w:r>
              <w:rPr>
                <w:rFonts w:cs="Helv;Arial" w:ascii="Helv;Arial" w:hAnsi="Helv;Arial"/>
                <w:color w:val="000000"/>
              </w:rPr>
              <w:t>Cal 01 50MWs; Cal 02 25MWs; Cal 02 46MWs; Cal 03 5 MWs.  Market deregulation commenced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  Reviewing proposed Change of Law insurance product.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Bowater Inc. (50+ MW), Cadillac Fairview (40+ MW), Nitrochem (6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June-July 2001 have all been executed.  Staffing of AMPS is underway.  Currently marketing test unit for sale.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through regulatory hearings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Re-organization of certain transportation files.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$.05 ($2.5MM) dividend approved for payment first week of February, 2001.  $.02 ($1MM) dividend approved for payment end of March, 2001, pending leave to appeal on CIBC claims.  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TriQuest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DiStefano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February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Management Services Agreement for TriQuest's Alberta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January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and coordinating actual assignments to satisfy conditions precedent to Assignment of long-term transportation capacity from Shell to Sierra through ECC/ENA.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BC Gas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Development of license and/or other documentation to permit Enron Online data to be posted by BC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Hunt Oil Company of Canada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Management Services Agreement relating to the management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Power Marketing</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 form of one-off physical power supply agreement, based upon our Canadian form of Master Agreement.</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Secondary (Plan B) Power Auction, Market Rule Changes and No Harm Commitment (Peter Keohane).  Complaint filed with Market Surveillance Administrator regarding the Balancing Pool’s Clover Bar offer strategy.</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January 2001 (Peter Keohane).</w:t>
      </w:r>
    </w:p>
    <w:p>
      <w:pPr>
        <w:pStyle w:val="Normal"/>
        <w:numPr>
          <w:ilvl w:val="0"/>
          <w:numId w:val="1"/>
        </w:numPr>
        <w:jc w:val="both"/>
        <w:rPr>
          <w:rFonts w:ascii="Arial" w:hAnsi="Arial" w:cs="Arial"/>
        </w:rPr>
      </w:pPr>
      <w:r>
        <w:rPr>
          <w:rFonts w:cs="Arial" w:ascii="Arial" w:hAnsi="Arial"/>
        </w:rPr>
        <w:t>NGX/Canadian Enerdata litigation (Peter Keohane) – Settlement discussions.</w:t>
      </w:r>
    </w:p>
    <w:p>
      <w:pPr>
        <w:pStyle w:val="Normal"/>
        <w:numPr>
          <w:ilvl w:val="0"/>
          <w:numId w:val="1"/>
        </w:numPr>
        <w:jc w:val="both"/>
        <w:rPr>
          <w:rFonts w:ascii="Arial" w:hAnsi="Arial" w:cs="Arial"/>
        </w:rPr>
      </w:pPr>
      <w:r>
        <w:rPr>
          <w:rFonts w:cs="Arial" w:ascii="Arial" w:hAnsi="Arial"/>
        </w:rPr>
        <w:t>Ontario Standard Bilateral Contract (Chris Gaffney) - 2</w:t>
      </w:r>
      <w:r>
        <w:rPr>
          <w:rFonts w:cs="Arial" w:ascii="Arial" w:hAnsi="Arial"/>
          <w:vertAlign w:val="superscript"/>
        </w:rPr>
        <w:t>nd</w:t>
      </w:r>
      <w:r>
        <w:rPr>
          <w:rFonts w:cs="Arial" w:ascii="Arial" w:hAnsi="Arial"/>
        </w:rPr>
        <w:t xml:space="preserve"> Qtr., 2001 - Preparation of Ontario standard master agreement with committee of Ontario market participants.</w:t>
      </w:r>
    </w:p>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/mnt/main-storage/datasets/enron-docs/doc/finance20.report.doc</w:t>
    </w:r>
    <w:r>
      <w:rPr>
        <w:sz w:val="16"/>
        <w:rFonts w:cs="Arial Narrow" w:ascii="Arial Narrow" w:hAnsi="Arial Narrow"/>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2001-02-27T17:03:00Z</dcterms:created>
  <dc:creator>Linda Sietzema</dc:creator>
  <dc:description/>
  <dc:language>en-CA</dc:language>
  <cp:lastModifiedBy>jelbert</cp:lastModifiedBy>
  <cp:lastPrinted>2001-02-16T13:30:00Z</cp:lastPrinted>
  <dcterms:modified xsi:type="dcterms:W3CDTF">2001-02-27T17:03:00Z</dcterms:modified>
  <cp:revision>2</cp:revision>
  <dc:subject/>
  <dc:title>Legal Transaction Status Report – Enron NA</dc:title>
</cp:coreProperties>
</file>