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January 19, 2001</w:t>
      </w:r>
    </w:p>
    <w:p>
      <w:pPr>
        <w:pStyle w:val="Heading"/>
        <w:rPr>
          <w:b w:val="false"/>
          <w:u w:val="none"/>
        </w:rPr>
      </w:pPr>
      <w:r>
        <w:rPr>
          <w:b w:val="false"/>
          <w:u w:val="none"/>
        </w:rPr>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c>
          <w:tcPr>
            <w:tcW w:w="2178" w:type="dxa"/>
            <w:tcBorders>
              <w:top w:val="single" w:sz="4" w:space="0" w:color="000000"/>
              <w:start w:val="single" w:sz="4" w:space="0" w:color="000000"/>
              <w:bottom w:val="single" w:sz="4" w:space="0" w:color="000000"/>
              <w:end w:val="single" w:sz="4" w:space="0" w:color="000000"/>
            </w:tcBorders>
          </w:tcPr>
          <w:p>
            <w:pPr>
              <w:pStyle w:val="Subtitle"/>
              <w:rPr/>
            </w:pPr>
            <w:r>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 xml:space="preserve">Enron Canada Power Corp. acquired the Sundance "B" PPA pursuant to the auction for 706 MW for a term of 20 years, commencing January 1, 2001.  Market deregulation commenced January 1, 2001.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Secondary Alberta Power Purchase Auction (Plan B)</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Zufferli</w:t>
            </w:r>
          </w:p>
          <w:p>
            <w:pPr>
              <w:pStyle w:val="Normal"/>
              <w:jc w:val="both"/>
              <w:rPr>
                <w:rFonts w:ascii="Arial" w:hAnsi="Arial" w:cs="Arial"/>
              </w:rPr>
            </w:pPr>
            <w:r>
              <w:rPr>
                <w:rFonts w:cs="Arial" w:ascii="Arial" w:hAnsi="Arial"/>
              </w:rPr>
              <w:t>Derek Davies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b/>
              </w:rPr>
            </w:pPr>
            <w:r>
              <w:rPr>
                <w:rFonts w:cs="Arial" w:ascii="Arial" w:hAnsi="Arial"/>
              </w:rPr>
              <w:t xml:space="preserve">Enron Canada Power Corp. acquired </w:t>
            </w:r>
            <w:r>
              <w:rPr>
                <w:rFonts w:cs="Helv;Arial" w:ascii="Helv;Arial" w:hAnsi="Helv;Arial"/>
                <w:color w:val="000000"/>
              </w:rPr>
              <w:t>Cal 01 50MWs; Cal 02 25MWs; Cal 02 46MWs; Cal 03 5 MWs.  Market deregulation commenced January 1,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end of 3</w:t>
            </w:r>
            <w:r>
              <w:rPr>
                <w:rFonts w:cs="Arial" w:ascii="Arial" w:hAnsi="Arial"/>
                <w:vertAlign w:val="superscript"/>
              </w:rPr>
              <w:t>rd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Ontario market deregulation by November 30,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3</w:t>
            </w:r>
            <w:r>
              <w:rPr>
                <w:rFonts w:cs="Arial" w:ascii="Arial" w:hAnsi="Arial"/>
                <w:vertAlign w:val="superscript"/>
              </w:rPr>
              <w:t>rd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conditional on Ontario market deregulation by November 30, 2001, being discussed with various counterparties to hedge British Energy position.</w:t>
            </w:r>
          </w:p>
          <w:p>
            <w:pPr>
              <w:pStyle w:val="Normal"/>
              <w:jc w:val="both"/>
              <w:rPr>
                <w:rFonts w:ascii="Arial" w:hAnsi="Arial" w:cs="Arial"/>
              </w:rPr>
            </w:pPr>
            <w:r>
              <w:rPr>
                <w:rFonts w:cs="Arial" w:ascii="Arial" w:hAnsi="Arial"/>
              </w:rPr>
              <w:t>36 MW, 3-year contract executed with Sunoco.</w:t>
            </w:r>
          </w:p>
          <w:p>
            <w:pPr>
              <w:pStyle w:val="Normal"/>
              <w:jc w:val="both"/>
              <w:rPr>
                <w:rFonts w:ascii="Arial" w:hAnsi="Arial" w:cs="Arial"/>
              </w:rPr>
            </w:pPr>
            <w:r>
              <w:rPr>
                <w:rFonts w:cs="Arial" w:ascii="Arial" w:hAnsi="Arial"/>
              </w:rPr>
              <w:t>100 MW, 2-year contract executed with TransCanada Energy.</w:t>
            </w:r>
          </w:p>
          <w:p>
            <w:pPr>
              <w:pStyle w:val="Normal"/>
              <w:jc w:val="both"/>
              <w:rPr>
                <w:rFonts w:ascii="Arial" w:hAnsi="Arial" w:cs="Arial"/>
              </w:rPr>
            </w:pPr>
            <w:r>
              <w:rPr>
                <w:rFonts w:cs="Arial" w:ascii="Arial" w:hAnsi="Arial"/>
              </w:rPr>
              <w:t>Commenced negotiations with Ivaco Inc. (45 MW), Bowater Inc. (50+ MW), Cadillac Fairview (40+ MW) and Nitrochem (6 MW).  Draft agreement being reviewed by several other counterparties.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Helv;Arial" w:ascii="Helv;Arial" w:hAnsi="Helv;Arial"/>
                <w:color w:val="000000"/>
              </w:rPr>
              <w:t>G-6 Energy Corp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Helv;Arial" w:ascii="Helv;Arial" w:hAnsi="Helv;Arial"/>
                <w:color w:val="000000"/>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Helv;Arial" w:hAnsi="Helv;Arial" w:cs="Helv;Arial"/>
                <w:color w:val="000000"/>
              </w:rPr>
            </w:pPr>
            <w:r>
              <w:rPr>
                <w:rFonts w:cs="Helv;Arial" w:ascii="Helv;Arial" w:hAnsi="Helv;Arial"/>
                <w:color w:val="000000"/>
              </w:rPr>
              <w:t>Paul DeVries</w:t>
            </w:r>
          </w:p>
          <w:p>
            <w:pPr>
              <w:pStyle w:val="Normal"/>
              <w:jc w:val="both"/>
              <w:rPr>
                <w:rFonts w:ascii="Arial" w:hAnsi="Arial" w:cs="Arial"/>
              </w:rPr>
            </w:pPr>
            <w:r>
              <w:rPr>
                <w:rFonts w:cs="Helv;Arial" w:ascii="Helv;Arial" w:hAnsi="Helv;Arial"/>
                <w:color w:val="000000"/>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Helv;Arial" w:ascii="Helv;Arial" w:hAnsi="Helv;Arial"/>
                <w:color w:val="000000"/>
              </w:rPr>
              <w:t>1st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Helv;Arial" w:ascii="Helv;Arial" w:hAnsi="Helv;Arial"/>
                <w:color w:val="000000"/>
              </w:rPr>
              <w:t>Structured transaction forming a retail electricity provider with 6 large Ontario Municipal Electrical Utilities.  Enron Canada to provide services and exclusive wholesale electricity supply.  Enron Canada to take a 20% equity share in the G-6 and be granted an option to increase holdings to 50%.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3</w:t>
            </w:r>
            <w:r>
              <w:rPr>
                <w:rFonts w:cs="Arial" w:ascii="Arial" w:hAnsi="Arial"/>
                <w:vertAlign w:val="superscript"/>
              </w:rPr>
              <w:t>rd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retail electricity services and alliance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Finalizing the restructuring and capitalization of Advanced Mobile Power Systems, in which ENA will ultimately hold an 85% interest.  ENA assets will be transferred into AMPS on closing.  Vendor contracts regarding the supply of various components to complete the manufacture of one beta unit by June-July 2001 have almost all been executed.  Staffing of AMPS is underway.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1</w:t>
            </w:r>
            <w:r>
              <w:rPr>
                <w:rFonts w:cs="Arial" w:ascii="Arial" w:hAnsi="Arial"/>
                <w:vertAlign w:val="superscript"/>
              </w:rPr>
              <w:t>st</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awarded RFP.  Due diligence and negotiation of Definitive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Enron Direct 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Dave Pope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Retail electricity and natural gas affiliate for Canadian jurisdictions.  Developing and negotiating retail gas contracts.  Reviewing, commenting and amending proposed mechanics of infrastructure service through regulatory hearings and amending Power Pool of Alberta rules.  Acquiring office space, licenses, support contracts and addressing numerous other necessary new market and new business matters.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  Negotiating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Sunoco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Energy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CNR, Beau, Tenaska, Encal &amp; others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Kevin Heal</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Ongoing</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Re-organization of certain transportation files.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JCG Resources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confirmation of transactions and agreements between Contour Energy Ltd., Troodon Energy Ltd. and JCG Resources Ltd.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Energy Services Agreements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p>
            <w:pPr>
              <w:pStyle w:val="Normal"/>
              <w:jc w:val="both"/>
              <w:rPr/>
            </w:pPr>
            <w:r>
              <w:rPr>
                <w:rFonts w:cs="Arial" w:ascii="Arial" w:hAnsi="Arial"/>
              </w:rPr>
              <w:t>1</w:t>
            </w:r>
            <w:r>
              <w:rPr>
                <w:rFonts w:cs="Arial" w:ascii="Arial" w:hAnsi="Arial"/>
                <w:vertAlign w:val="superscript"/>
              </w:rPr>
              <w:t>st</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services agreements with various counterparties, including Bowater, Cadillac Fairview, Magna, Nitrochem, Sunoco, Alcan and Ivaco.</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Bowater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draft wholesale Electricity Management Services Agreement.  Draft power supply agreement has been circulated.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dividend expected for January 30,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various potential purchasers.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TriQuest Energy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DiStefano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February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Management Services Agreement for TriQuest's Alberta gas.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Ontario Bilateral 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Garrett Tripp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March 1,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Ontario standard master agreement with Ontario market participants.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Shell/Sierra Pacific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Barry Tycholiz</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January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Assignment of long-term transportation capacity from Shell to Sierra through ECC/ENA.</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BC Gas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Development of license and/or other documentation to permit Enron Online data to be posted by BC Gas.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Hunt Oil Company of Canada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Grant Oh</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Management Services Agreement relating to the management of pipeline capacity.</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Sundance B PPA, Secondary (Plan B) Power Auction, Market Rule Changes and No Harm Commitment (Peter Keohane).</w:t>
      </w:r>
    </w:p>
    <w:p>
      <w:pPr>
        <w:pStyle w:val="Normal"/>
        <w:numPr>
          <w:ilvl w:val="0"/>
          <w:numId w:val="1"/>
        </w:numPr>
        <w:jc w:val="both"/>
        <w:rPr>
          <w:rFonts w:ascii="Arial" w:hAnsi="Arial" w:cs="Arial"/>
        </w:rPr>
      </w:pPr>
      <w:r>
        <w:rPr>
          <w:rFonts w:cs="Arial" w:ascii="Arial" w:hAnsi="Arial"/>
        </w:rPr>
        <w:t>Competition Law Seminar – Completed for Calgary, December 4, 2000; scheduled for Toronto for January 2001 (Peter Keohane).</w:t>
      </w:r>
    </w:p>
    <w:p>
      <w:pPr>
        <w:pStyle w:val="Normal"/>
        <w:numPr>
          <w:ilvl w:val="0"/>
          <w:numId w:val="1"/>
        </w:numPr>
        <w:jc w:val="both"/>
        <w:rPr>
          <w:rFonts w:ascii="Arial" w:hAnsi="Arial" w:cs="Arial"/>
        </w:rPr>
      </w:pPr>
      <w:r>
        <w:rPr>
          <w:rFonts w:cs="Arial" w:ascii="Arial" w:hAnsi="Arial"/>
        </w:rPr>
        <w:t>NGX/Canadian Enerdata litigation (Peter Keohane).</w:t>
      </w:r>
    </w:p>
    <w:p>
      <w:pPr>
        <w:pStyle w:val="Normal"/>
        <w:numPr>
          <w:ilvl w:val="0"/>
          <w:numId w:val="1"/>
        </w:numPr>
        <w:jc w:val="both"/>
        <w:rPr>
          <w:rFonts w:ascii="Arial" w:hAnsi="Arial" w:cs="Arial"/>
        </w:rPr>
      </w:pPr>
      <w:r>
        <w:rPr>
          <w:rFonts w:cs="Arial" w:ascii="Arial" w:hAnsi="Arial"/>
        </w:rPr>
        <w:t>Project Stanley (Peter Keohane).</w:t>
      </w:r>
    </w:p>
    <w:p>
      <w:pPr>
        <w:pStyle w:val="Normal"/>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orient="landscape" w:w="15840" w:h="12240"/>
      <w:pgMar w:left="1440" w:right="1440" w:gutter="0" w:header="720" w:top="1440"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/mnt/main-storage/datasets/enron-docs/doc/finance18.report.doc</w:t>
    </w:r>
    <w:r>
      <w:rPr>
        <w:sz w:val="16"/>
        <w:rFonts w:cs="Arial Narrow" w:ascii="Arial Narrow" w:hAnsi="Arial Narrow"/>
      </w:rPr>
      <w:fldChar w:fldCharType="end"/>
    </w:r>
    <w:r>
      <w:rPr>
        <w:rFonts w:cs="Arial Narrow"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2001-01-31T20:40:00Z</dcterms:created>
  <dc:creator>Linda Sietzema</dc:creator>
  <dc:description/>
  <dc:language>en-CA</dc:language>
  <cp:lastModifiedBy>jelbert</cp:lastModifiedBy>
  <cp:lastPrinted>2001-01-19T12:02:00Z</cp:lastPrinted>
  <dcterms:modified xsi:type="dcterms:W3CDTF">2001-01-31T20:40:00Z</dcterms:modified>
  <cp:revision>2</cp:revision>
  <dc:subject/>
  <dc:title>Legal Transaction Status Report – Enron NA</dc:title>
</cp:coreProperties>
</file>