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fldChar w:fldCharType="begin"/>
      </w:r>
      <w:r>
        <w:rPr>
          <w:u w:val="none"/>
          <w:b w:val="false"/>
        </w:rPr>
        <w:instrText xml:space="preserve"> DATE \@"MMMM\ d', 'yyyy" </w:instrText>
      </w:r>
      <w:r>
        <w:rPr>
          <w:u w:val="none"/>
          <w:b w:val="false"/>
        </w:rPr>
        <w:fldChar w:fldCharType="separate"/>
      </w:r>
      <w:r>
        <w:rPr>
          <w:u w:val="none"/>
          <w:b w:val="false"/>
        </w:rPr>
        <w:t>September 28, 2025</w:t>
      </w:r>
      <w:r>
        <w:rPr>
          <w:u w:val="none"/>
          <w:b w:val="false"/>
        </w:rPr>
        <w:fldChar w:fldCharType="end"/>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Power’s qualification for participation in the Alberta Power Pool has been completed.  Trading and origination transactions are being pursued and executed with respect to the PPA for market deregulation commencing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Auction to be held Nov. 29/00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The Government of Alberta has announced Plan "B" for the auction, in smaller blocks (2-25 MW) and for shorter terms (1-3 years), of the unsold power from the first auction (approximately 2,150 MWs).  Enron is entitled to bid on approximately 400 MW due to PPA holding restrictions and must back-to-back 70% of the volume as a condition to participation.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Plan B Back-to-Back Transactions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John Zufferli</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physical back-to-back transactions, conditional on Plan B Auction Participation.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Year-end 2000/First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w:t>
            </w:r>
          </w:p>
          <w:p>
            <w:pPr>
              <w:pStyle w:val="Normal"/>
              <w:jc w:val="both"/>
              <w:rPr>
                <w:rFonts w:ascii="Arial" w:hAnsi="Arial" w:cs="Arial"/>
              </w:rPr>
            </w:pPr>
            <w:r>
              <w:rPr>
                <w:rFonts w:cs="Arial" w:ascii="Arial" w:hAnsi="Arial"/>
              </w:rPr>
              <w:t>20 MW (+16 MW option), 3-year contract executed with Sunoco.</w:t>
            </w:r>
          </w:p>
          <w:p>
            <w:pPr>
              <w:pStyle w:val="Normal"/>
              <w:jc w:val="both"/>
              <w:rPr>
                <w:rFonts w:ascii="Arial" w:hAnsi="Arial" w:cs="Arial"/>
              </w:rPr>
            </w:pPr>
            <w:r>
              <w:rPr>
                <w:rFonts w:cs="Arial" w:ascii="Arial" w:hAnsi="Arial"/>
              </w:rPr>
              <w:t>100 MW, 2-year contract executed with TransCanada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Toronto office set-up and additional contracting arrangements ongoing for Market Opening.  Currently renegotiating services agreement and potential buy-out of non-compete restrictions.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PG&amp;E.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Definitive Agreement expected to be executed by December,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has been awarded RFP.  Negotiation and execution of Definitive Agreement to be completed.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Creation, qualification and preparation relating to a retail energy affiliate for Canadian jurisdictions.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Tax Mitigation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Morris Clark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various tax deferral or tax write-off structures.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w:t>
            </w:r>
          </w:p>
          <w:p>
            <w:pPr>
              <w:pStyle w:val="Header"/>
              <w:tabs>
                <w:tab w:val="clear" w:pos="4320"/>
                <w:tab w:val="clear" w:pos="8640"/>
              </w:tabs>
              <w:jc w:val="both"/>
              <w:rPr>
                <w:rFonts w:ascii="Arial" w:hAnsi="Arial" w:cs="Arial"/>
              </w:rPr>
            </w:pPr>
            <w:r>
              <w:rPr>
                <w:rFonts w:cs="Arial" w:ascii="Arial" w:hAnsi="Arial"/>
              </w:rPr>
              <w:t>Negotiating term sheet for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Nitrochem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regarding the provision of energy supply, portfolio, a risk management and settlement services and cogeneration development has been executed.  Revising draft power supply contract.  Preparing draft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Organization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Cadillac Fairview</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 binding letter of intent has been executed.  Preparing draft wholesale Electricity Management Services Agreement.  Draft power supply agreement has been circulated.  Exclusivity in place until November,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Power</w:t>
            </w:r>
          </w:p>
          <w:p>
            <w:pPr>
              <w:pStyle w:val="Normal"/>
              <w:jc w:val="both"/>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Canadian standard form EEI master physical power trading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  We are preparing amended and restated Master Agreements for the 9 remaining counterparties for which the commercial people have yet to deliver.</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 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Secondary Power Auction, Market Rule Changes and No Harm Commitment (Peter Keohane).</w:t>
      </w:r>
    </w:p>
    <w:p>
      <w:pPr>
        <w:pStyle w:val="Normal"/>
        <w:numPr>
          <w:ilvl w:val="0"/>
          <w:numId w:val="1"/>
        </w:numPr>
        <w:jc w:val="both"/>
        <w:rPr>
          <w:rFonts w:ascii="Arial" w:hAnsi="Arial" w:cs="Arial"/>
        </w:rPr>
      </w:pPr>
      <w:r>
        <w:rPr>
          <w:rFonts w:cs="Arial" w:ascii="Arial" w:hAnsi="Arial"/>
        </w:rPr>
        <w:t>Competition Law Seminar – Scheduled for December 2000 (Peter Keohane).</w:t>
      </w:r>
    </w:p>
    <w:p>
      <w:pPr>
        <w:pStyle w:val="Normal"/>
        <w:numPr>
          <w:ilvl w:val="0"/>
          <w:numId w:val="1"/>
        </w:numPr>
        <w:jc w:val="both"/>
        <w:rPr>
          <w:rFonts w:ascii="Arial" w:hAnsi="Arial" w:cs="Arial"/>
        </w:rPr>
      </w:pPr>
      <w:r>
        <w:rPr>
          <w:rFonts w:cs="Arial" w:ascii="Arial" w:hAnsi="Arial"/>
        </w:rPr>
        <w:t>Potential NGX/Canadian Enerdata litigation (Peter Keohane).</w:t>
      </w:r>
    </w:p>
    <w:p>
      <w:pPr>
        <w:pStyle w:val="Normal"/>
        <w:numPr>
          <w:ilvl w:val="0"/>
          <w:numId w:val="1"/>
        </w:numPr>
        <w:jc w:val="both"/>
        <w:rPr>
          <w:rFonts w:ascii="Arial" w:hAnsi="Arial" w:cs="Arial"/>
        </w:rPr>
      </w:pPr>
      <w:r>
        <w:rPr>
          <w:rFonts w:cs="Arial" w:ascii="Arial" w:hAnsi="Arial"/>
        </w:rPr>
        <w:t>Project Stanley (Peter Keohane).</w:t>
      </w:r>
    </w:p>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/mnt/main-storage/datasets/enron-docs/doc/finance15.report-3357090c8f8dfb3856092fc0c5db0ce02e746ff91cc266a17c84f1dc06072302.doc</w:t>
    </w:r>
    <w:r>
      <w:rPr>
        <w:sz w:val="16"/>
        <w:rFonts w:cs="Arial Narrow" w:ascii="Arial Narrow" w:hAnsi="Arial Narrow"/>
        <w:lang w:eastAsia="en-US"/>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2000-11-20T14:57:00Z</dcterms:created>
  <dc:creator>Linda Sietzema</dc:creator>
  <dc:description/>
  <dc:language>en-CA</dc:language>
  <cp:lastModifiedBy>scrawfo3</cp:lastModifiedBy>
  <cp:lastPrinted>2000-11-20T10:42:00Z</cp:lastPrinted>
  <dcterms:modified xsi:type="dcterms:W3CDTF">2000-11-20T15:12:00Z</dcterms:modified>
  <cp:revision>5</cp:revision>
  <dc:subject/>
  <dc:title>Legal Transaction Status Report – Enron NA</dc:title>
</cp:coreProperties>
</file>