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b w:val="false"/>
          <w:u w:val="none"/>
        </w:rPr>
      </w:pPr>
      <w:r>
        <w:rPr>
          <w:b w:val="false"/>
          <w:u w:val="none"/>
        </w:rPr>
        <w:fldChar w:fldCharType="begin"/>
      </w:r>
      <w:r>
        <w:rPr>
          <w:u w:val="none"/>
          <w:b w:val="false"/>
        </w:rPr>
        <w:instrText xml:space="preserve"> DATE \@"MMMM\ d', 'yyyy" </w:instrText>
      </w:r>
      <w:r>
        <w:rPr>
          <w:u w:val="none"/>
          <w:b w:val="false"/>
        </w:rPr>
        <w:fldChar w:fldCharType="separate"/>
      </w:r>
      <w:r>
        <w:rPr>
          <w:u w:val="none"/>
          <w:b w:val="false"/>
        </w:rPr>
        <w:t>September 28, 2025</w:t>
      </w:r>
      <w:r>
        <w:rPr>
          <w:u w:val="none"/>
          <w:b w:val="false"/>
        </w:rPr>
        <w:fldChar w:fldCharType="end"/>
      </w:r>
    </w:p>
    <w:p>
      <w:pPr>
        <w:pStyle w:val="Heading"/>
        <w:rPr>
          <w:b w:val="false"/>
          <w:u w:val="none"/>
        </w:rPr>
      </w:pPr>
      <w:r>
        <w:rPr>
          <w:b w:val="false"/>
          <w:u w:val="none"/>
        </w:rPr>
      </w:r>
    </w:p>
    <w:p>
      <w:pPr>
        <w:pStyle w:val="Heading"/>
        <w:rPr/>
      </w:pPr>
      <w:r>
        <w:rPr/>
        <w:t>LEGAL STATUS REPORT – ENRON CANADA</w:t>
      </w:r>
    </w:p>
    <w:p>
      <w:pPr>
        <w:pStyle w:val="Normal"/>
        <w:jc w:val="both"/>
        <w:rPr>
          <w:rFonts w:ascii="Arial" w:hAnsi="Arial" w:cs="Arial"/>
        </w:rPr>
      </w:pPr>
      <w:r>
        <w:rPr>
          <w:rFonts w:cs="Arial" w:ascii="Arial" w:hAnsi="Arial"/>
        </w:rPr>
      </w:r>
    </w:p>
    <w:tbl>
      <w:tblPr>
        <w:tblW w:w="13158" w:type="dxa"/>
        <w:jc w:val="start"/>
        <w:tblInd w:w="0" w:type="dxa"/>
        <w:tblLayout w:type="fixed"/>
        <w:tblCellMar>
          <w:top w:w="0" w:type="dxa"/>
          <w:start w:w="108" w:type="dxa"/>
          <w:bottom w:w="0" w:type="dxa"/>
          <w:end w:w="108" w:type="dxa"/>
        </w:tblCellMar>
      </w:tblPr>
      <w:tblGrid>
        <w:gridCol w:w="2178"/>
        <w:gridCol w:w="1890"/>
        <w:gridCol w:w="1890"/>
        <w:gridCol w:w="1710"/>
        <w:gridCol w:w="5490"/>
      </w:tblGrid>
      <w:tr>
        <w:trPr/>
        <w:tc>
          <w:tcPr>
            <w:tcW w:w="217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RESPONSIBLE ATTORNEY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BUSINESS PERSON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PROJECTED CLOSING</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STATUS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Alberta Power Purchase Auction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John Lavorato (Trading)</w:t>
            </w:r>
          </w:p>
          <w:p>
            <w:pPr>
              <w:pStyle w:val="Normal"/>
              <w:rPr>
                <w:rFonts w:ascii="Arial" w:hAnsi="Arial" w:cs="Arial"/>
              </w:rPr>
            </w:pPr>
            <w:r>
              <w:rPr>
                <w:rFonts w:cs="Arial" w:ascii="Arial" w:hAnsi="Arial"/>
              </w:rPr>
              <w:t>Rob Milnthorp</w:t>
            </w:r>
          </w:p>
          <w:p>
            <w:pPr>
              <w:pStyle w:val="Normal"/>
              <w:rPr>
                <w:rFonts w:ascii="Arial" w:hAnsi="Arial" w:cs="Arial"/>
              </w:rPr>
            </w:pPr>
            <w:r>
              <w:rPr>
                <w:rFonts w:cs="Arial" w:ascii="Arial" w:hAnsi="Arial"/>
              </w:rPr>
              <w:t>Derek Davies</w:t>
            </w:r>
          </w:p>
          <w:p>
            <w:pPr>
              <w:pStyle w:val="Normal"/>
              <w:rPr>
                <w:rFonts w:ascii="Arial" w:hAnsi="Arial" w:cs="Arial"/>
              </w:rPr>
            </w:pPr>
            <w:r>
              <w:rPr>
                <w:rFonts w:cs="Arial" w:ascii="Arial" w:hAnsi="Arial"/>
              </w:rPr>
              <w:t>(Origination)</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Enron Canada Power Corp. acquired the Sundance "B" PPA pursuant to the auction for 706 MW for a term of 20 years commencing January 1, 2001. Enron Canada Power’s qualification for participation in the Alberta Power Pool, and trading and origination transactions are being pursued and executed with respect to the PPA for market deregulation commencing January 1, 2001.  The Government of Alberta has announced Plan "B" for the auction, in smaller blocks and for shorter terms, of the unsold power from the first auction (approximately 2,150 MWs) with Enron entitled to bid on approximately 400 MW due to PPA holding restrictions.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British Energy Canada</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term firm PPA for 500 MW/h executed, conditional on British Energy entering into an agreement to acquire the Bruce Nuclear Generation Facility from the Ontario Government, and on Enron hedging 90% of contracted power.  Award of Bruce Facility to British Energy has been confirmed as satisfied. Market Opening extension has been negotiated with British Energy.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Off-Take of British Energy Power</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 xml:space="preserve">Peter Keohane </w:t>
            </w:r>
          </w:p>
          <w:p>
            <w:pPr>
              <w:pStyle w:val="Header"/>
              <w:tabs>
                <w:tab w:val="clear" w:pos="4320"/>
                <w:tab w:val="clear" w:pos="8640"/>
              </w:tabs>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Rob Milnthorp</w:t>
            </w:r>
          </w:p>
          <w:p>
            <w:pPr>
              <w:pStyle w:val="Header"/>
              <w:tabs>
                <w:tab w:val="clear" w:pos="4320"/>
                <w:tab w:val="clear" w:pos="8640"/>
              </w:tabs>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Firm PPAs being discussed with various counterparties to hedge British Energy position.  20 MW (+16 MW option), 3-year contract executed with Sunoco.  100 MW, 2-year contract executed with TransCanada Energy.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ENERconnect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rFonts w:cs="Arial" w:ascii="Arial" w:hAnsi="Arial"/>
              </w:rPr>
              <w:t>Commencing on Ontario Market Opening (Projected for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3-year services and alliance agreement executed.  Toronto office set-up and additional contracting arrangements ongoing for Market Opening.  Currently renegotiating services agreement and potential buy-out of non-compete restrictions.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Blue Range Resource Corporation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administration of estate wind-up and final dividend payment.  Final dividend expected for year-end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Project Red Ball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Year-end 2000/First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Pursuing long-term financing for acquisition of Alberta PPA with various institutions.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Moore Power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 xml:space="preserve">Kyle Kitagawa </w:t>
            </w:r>
          </w:p>
          <w:p>
            <w:pPr>
              <w:pStyle w:val="Normal"/>
              <w:jc w:val="both"/>
              <w:rPr>
                <w:rFonts w:ascii="Arial" w:hAnsi="Arial" w:cs="Arial"/>
              </w:rPr>
            </w:pPr>
            <w:r>
              <w:rPr>
                <w:rFonts w:cs="Arial" w:ascii="Arial" w:hAnsi="Arial"/>
              </w:rPr>
              <w:t>Eric Le Dain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Packaging project for sale (turbines, queue position, land option, permitting) to potential third parties.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Mobile Turbine Joint Venture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Greg Johnston</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p>
            <w:pPr>
              <w:pStyle w:val="Normal"/>
              <w:jc w:val="both"/>
              <w:rPr>
                <w:rFonts w:ascii="Arial" w:hAnsi="Arial" w:cs="Arial"/>
              </w:rPr>
            </w:pPr>
            <w:r>
              <w:rPr>
                <w:rFonts w:cs="Arial" w:ascii="Arial" w:hAnsi="Arial"/>
              </w:rPr>
              <w:t>Duncan Croasdale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has been executed by Power Systems Mfg. regarding the creation of a joint entity for the purpose of manufacturing, packaging and selling mobile combustion turbine generating units. Management agreement and LLC agreement (and related agreements) are in process.  ENA has acquired one FT4 turbine and jet engine and one complete FT4 mobile package.  ENA has executed a supply agreement regarding 2 generators, with an option to have up to an additional 8 generators supplied.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Ontario G-6 Municipalities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Eric Le Dain</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rFonts w:cs="Arial" w:ascii="Arial" w:hAnsi="Arial"/>
              </w:rPr>
              <w:t>Ontario Market Opening (Projected for end of 2</w:t>
            </w:r>
            <w:r>
              <w:rPr>
                <w:rFonts w:cs="Arial" w:ascii="Arial" w:hAnsi="Arial"/>
                <w:vertAlign w:val="superscript"/>
              </w:rPr>
              <w:t>nd</w:t>
            </w:r>
            <w:r>
              <w:rPr>
                <w:rFonts w:cs="Arial" w:ascii="Arial" w:hAnsi="Arial"/>
              </w:rPr>
              <w:t xml:space="preserve"> Qtr. 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has been executed with respect to supplying the G-6 municipalities or their Retail Affiliate with gas and electricity (on an exclusive basis) and energy management and supply services.  Energy supply and portfolio management services agreements and master physical power and gas trading agreements under negotiation.</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Government of Ontario NUG</w:t>
            </w:r>
          </w:p>
          <w:p>
            <w:pPr>
              <w:pStyle w:val="Normal"/>
              <w:rPr>
                <w:rFonts w:ascii="Arial" w:hAnsi="Arial" w:cs="Arial"/>
              </w:rPr>
            </w:pPr>
            <w:r>
              <w:rPr>
                <w:rFonts w:cs="Arial" w:ascii="Arial" w:hAnsi="Arial"/>
              </w:rPr>
              <w:t>Contract RFP</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Definitive Agreement expected to be executed by December,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RFP for management of the Non-Utility Generation Contracts on behalf of the Government of Ontario.  Enron Canada has been awarded RFP.  Negotiation and execution of Definitive Agreement to be completed.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Master Power</w:t>
            </w:r>
          </w:p>
          <w:p>
            <w:pPr>
              <w:pStyle w:val="Normal"/>
              <w:jc w:val="both"/>
              <w:rPr>
                <w:rFonts w:ascii="Arial" w:hAnsi="Arial" w:cs="Arial"/>
              </w:rPr>
            </w:pPr>
            <w:r>
              <w:rPr>
                <w:rFonts w:cs="Arial" w:ascii="Arial" w:hAnsi="Arial"/>
              </w:rPr>
              <w:t>Contract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Jon McKay</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 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of Canadian standard form EEI master physical power trading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Master Amendment Project</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On-going</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Preparation and negotiation of amendments to 37 Master Firm Gas Purchase/Sale Agreements (including specific transportation assignments and collateral and netting agreements) to reflect revised credit terms and recent changes in Canadian insolvency and commercial laws.  We are preparing amended and restated Master Agreements for the 9 remaining counterparties for which the commercial people have yet to deliver.</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Papier Masson Ltee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Paul DeVries</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Ongoing monitoring of TMP construction, equity investments and loan guarantees.  Currently reviewing acquisition/disposition opportunities.  Negotiating term sheet for potential buy-out of other shareholders.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Invasion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Kyle Kitagawa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Not applicable</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pPr>
            <w:r>
              <w:rPr>
                <w:rFonts w:cs="Arial" w:ascii="Arial" w:hAnsi="Arial"/>
              </w:rPr>
              <w:t>Ongoing monitoring of equity and debt investments. Sale anticipated for 4</w:t>
            </w:r>
            <w:r>
              <w:rPr>
                <w:rFonts w:cs="Arial" w:ascii="Arial" w:hAnsi="Arial"/>
                <w:vertAlign w:val="superscript"/>
              </w:rPr>
              <w:t>th</w:t>
            </w:r>
            <w:r>
              <w:rPr>
                <w:rFonts w:cs="Arial" w:ascii="Arial" w:hAnsi="Arial"/>
              </w:rPr>
              <w:t xml:space="preserve"> Qtr.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Nitrochem</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Non-binding letter of intent regarding the provision of energy supply, portfolio, a risk management and settlement services and cogeneration development has been executed.  Revising draft power supply contract.  Preparing draft services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Sunoco Energy Inc.</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Negotiating Energy Services Agreement.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CNR, Beau, Tenaska, Encal &amp; others</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Derek Davies</w:t>
            </w:r>
          </w:p>
          <w:p>
            <w:pPr>
              <w:pStyle w:val="Normal"/>
              <w:jc w:val="both"/>
              <w:rPr>
                <w:rFonts w:ascii="Arial" w:hAnsi="Arial" w:cs="Arial"/>
              </w:rPr>
            </w:pPr>
            <w:r>
              <w:rPr>
                <w:rFonts w:cs="Arial" w:ascii="Arial" w:hAnsi="Arial"/>
              </w:rPr>
              <w:t>Kevin Heal</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Organization of numerous temporary assignments of pipeline capacity.</w:t>
            </w:r>
          </w:p>
        </w:tc>
      </w:tr>
      <w:tr>
        <w:trPr/>
        <w:tc>
          <w:tcPr>
            <w:tcW w:w="217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JCG Resources Ltd.</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Mark Powell</w:t>
            </w:r>
          </w:p>
          <w:p>
            <w:pPr>
              <w:pStyle w:val="Normal"/>
              <w:jc w:val="both"/>
              <w:rPr>
                <w:rFonts w:ascii="Arial" w:hAnsi="Arial" w:cs="Arial"/>
              </w:rPr>
            </w:pPr>
            <w:r>
              <w:rPr>
                <w:rFonts w:cs="Arial" w:ascii="Arial" w:hAnsi="Arial"/>
              </w:rPr>
              <w:t>Greg Johnston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Cyntia Pastega</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Coordination and confirmation of transactions and agreements between Contour Energy Ltd., Troodon Energy Ltd. and JCG Resources Ltd.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Canadian Retail (Power and Gas) Initiative</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Mark Powell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p>
            <w:pPr>
              <w:pStyle w:val="Normal"/>
              <w:jc w:val="both"/>
              <w:rPr>
                <w:rFonts w:ascii="Arial" w:hAnsi="Arial" w:cs="Arial"/>
              </w:rPr>
            </w:pPr>
            <w:r>
              <w:rPr>
                <w:rFonts w:cs="Arial" w:ascii="Arial" w:hAnsi="Arial"/>
              </w:rPr>
              <w:t>Dave Pope</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Unknown</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Creation, qualification and preparation relating to a retail energy affiliate for Canadian jurisdictions.</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Cadillac Fairview</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Non binding letter of intent has been executed.  Preparing draft wholesale Electricity Management Services Agreement.  Draft power supply agreement has been circulated.  Exclusivity in place until November, 2000.</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Bowater</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Jeff Borg</w:t>
            </w:r>
          </w:p>
          <w:p>
            <w:pPr>
              <w:pStyle w:val="Normal"/>
              <w:jc w:val="both"/>
              <w:rPr>
                <w:rFonts w:ascii="Arial" w:hAnsi="Arial" w:cs="Arial"/>
              </w:rPr>
            </w:pPr>
            <w:r>
              <w:rPr>
                <w:rFonts w:cs="Arial" w:ascii="Arial" w:hAnsi="Arial"/>
              </w:rPr>
              <w:t>Jan Wilson</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pPr>
            <w:r>
              <w:rPr>
                <w:rFonts w:cs="Arial" w:ascii="Arial" w:hAnsi="Arial"/>
              </w:rPr>
              <w:t>4</w:t>
            </w:r>
            <w:r>
              <w:rPr>
                <w:rFonts w:cs="Arial" w:ascii="Arial" w:hAnsi="Arial"/>
                <w:vertAlign w:val="superscript"/>
              </w:rPr>
              <w:t>th</w:t>
            </w:r>
            <w:r>
              <w:rPr>
                <w:rFonts w:cs="Arial" w:ascii="Arial" w:hAnsi="Arial"/>
              </w:rPr>
              <w:t xml:space="preserve"> Qtr.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Preparing draft wholesale Electricity Management Services Agreement.  Draft power supply agreement has been circulated.</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Ontario Standard Form Physical Bilateral</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Chris Gaffney</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Paul Devries</w:t>
            </w:r>
          </w:p>
          <w:p>
            <w:pPr>
              <w:pStyle w:val="Normal"/>
              <w:jc w:val="both"/>
              <w:rPr>
                <w:rFonts w:ascii="Arial" w:hAnsi="Arial" w:cs="Arial"/>
              </w:rPr>
            </w:pPr>
            <w:r>
              <w:rPr>
                <w:rFonts w:cs="Arial" w:ascii="Arial" w:hAnsi="Arial"/>
              </w:rPr>
              <w:t>Garrett Tripp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2001</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Participation in industry project to develop a standard power trading document.</w:t>
            </w:r>
          </w:p>
        </w:tc>
      </w:tr>
      <w:tr>
        <w:trPr/>
        <w:tc>
          <w:tcPr>
            <w:tcW w:w="217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rFonts w:ascii="Arial" w:hAnsi="Arial" w:cs="Arial"/>
              </w:rPr>
            </w:pPr>
            <w:r>
              <w:rPr>
                <w:rFonts w:cs="Arial" w:ascii="Arial" w:hAnsi="Arial"/>
              </w:rPr>
              <w:t>Tax Mitigation</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Peter Keohane</w:t>
            </w:r>
          </w:p>
          <w:p>
            <w:pPr>
              <w:pStyle w:val="Normal"/>
              <w:jc w:val="both"/>
              <w:rPr>
                <w:rFonts w:ascii="Arial" w:hAnsi="Arial" w:cs="Arial"/>
              </w:rPr>
            </w:pPr>
            <w:r>
              <w:rPr>
                <w:rFonts w:cs="Arial" w:ascii="Arial" w:hAnsi="Arial"/>
              </w:rPr>
              <w:t>Morris Clark</w:t>
            </w:r>
          </w:p>
        </w:tc>
        <w:tc>
          <w:tcPr>
            <w:tcW w:w="189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Rob Milnthorp</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Year-end 2000</w:t>
            </w:r>
          </w:p>
        </w:tc>
        <w:tc>
          <w:tcPr>
            <w:tcW w:w="549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both"/>
              <w:rPr>
                <w:rFonts w:ascii="Arial" w:hAnsi="Arial" w:cs="Arial"/>
              </w:rPr>
            </w:pPr>
            <w:r>
              <w:rPr>
                <w:rFonts w:cs="Arial" w:ascii="Arial" w:hAnsi="Arial"/>
              </w:rPr>
              <w:t>Pursuing various tax deferral or tax write-off structures.</w:t>
            </w:r>
          </w:p>
        </w:tc>
      </w:tr>
    </w:tbl>
    <w:p>
      <w:pPr>
        <w:pStyle w:val="Normal"/>
        <w:jc w:val="both"/>
        <w:rPr>
          <w:rFonts w:ascii="Arial" w:hAnsi="Arial" w:cs="Arial"/>
        </w:rPr>
      </w:pPr>
      <w:r>
        <w:rPr>
          <w:rFonts w:cs="Arial" w:ascii="Arial" w:hAnsi="Arial"/>
        </w:rPr>
      </w:r>
    </w:p>
    <w:p>
      <w:pPr>
        <w:pStyle w:val="Normal"/>
        <w:jc w:val="both"/>
        <w:rPr>
          <w:rFonts w:ascii="Arial" w:hAnsi="Arial" w:cs="Arial"/>
          <w:sz w:val="22"/>
        </w:rPr>
      </w:pPr>
      <w:r>
        <w:rPr>
          <w:rFonts w:cs="Arial" w:ascii="Arial" w:hAnsi="Arial"/>
          <w:sz w:val="22"/>
        </w:rPr>
      </w:r>
    </w:p>
    <w:sectPr>
      <w:headerReference w:type="default" r:id="rId2"/>
      <w:footerReference w:type="default" r:id="rId3"/>
      <w:type w:val="nextPage"/>
      <w:pgSz w:orient="landscape" w:w="15840" w:h="12240"/>
      <w:pgMar w:left="1440" w:right="1440" w:gutter="0" w:header="720" w:top="1440" w:footer="432"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/mnt/main-storage/datasets/enron-docs/doc/finance14.nov13.report-19ac82916f592751b4cbe0f8b20769e2d7ad6bb49933d90634a07f64d3931d23.doc</w:t>
    </w:r>
    <w:r>
      <w:rPr>
        <w:sz w:val="16"/>
        <w:rFonts w:cs="Arial Narrow" w:ascii="Arial Narrow" w:hAnsi="Arial Narrow"/>
        <w:lang w:eastAsia="en-US"/>
      </w:rPr>
      <w:fldChar w:fldCharType="end"/>
    </w:r>
    <w:r>
      <w:rPr>
        <w:rFonts w:cs="Arial Narrow" w:ascii="Arial Narrow" w:hAnsi="Arial Narrow"/>
        <w:sz w:val="16"/>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2000-11-08T13:17:00Z</dcterms:created>
  <dc:creator>Linda Sietzema</dc:creator>
  <dc:description/>
  <dc:language>en-CA</dc:language>
  <cp:lastModifiedBy>scrawfo3</cp:lastModifiedBy>
  <cp:lastPrinted>2000-11-09T16:45:00Z</cp:lastPrinted>
  <dcterms:modified xsi:type="dcterms:W3CDTF">2000-11-09T21:16:00Z</dcterms:modified>
  <cp:revision>10</cp:revision>
  <dc:subject/>
  <dc:title>Legal Transaction Status Report – Enron NA</dc:title>
</cp:coreProperties>
</file>