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fldChar w:fldCharType="begin"/>
      </w:r>
      <w:r>
        <w:rPr>
          <w:u w:val="none"/>
          <w:b w:val="false"/>
        </w:rPr>
        <w:instrText xml:space="preserve"> DATE \@"MMMM\ d', 'yyyy" </w:instrText>
      </w:r>
      <w:r>
        <w:rPr>
          <w:u w:val="none"/>
          <w:b w:val="false"/>
        </w:rPr>
        <w:fldChar w:fldCharType="separate"/>
      </w:r>
      <w:r>
        <w:rPr>
          <w:u w:val="none"/>
          <w:b w:val="false"/>
        </w:rPr>
        <w:t>September 28, 2025</w:t>
      </w:r>
      <w:r>
        <w:rPr>
          <w:u w:val="none"/>
          <w:b w:val="false"/>
        </w:rPr>
        <w:fldChar w:fldCharType="end"/>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Power Purchase Auction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Lavorato (Trading)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Corp. is presently negotiating a series of structured prepaid financial gas swap transactions with Royal Bank of Canada, Toronto-Dominion Bank and Chase Manhattan Bank to finance the acquisition amount and related inter-company transactions between Enron Canada Power, Enron Canada and Enron Corp.  Enron Canada Power’s qualification for participation in the Alberta Power Pool, and trading and origination transactions are pursued with respect to the PPA for market deregulation commencing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acquiring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Toronto office set-up and additional contracting arrangements ongoing for Market Opening.  Currently renegotiating services agreement and provision of financing.</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G-6 Municipalities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with respect to supplying the G-6 municipalities or their Retail Affiliate with gas and electricity (on an exclusive basis) and energy management and supply services.  Energy supply and portfolio management services agreements and master physical power and gas trading agreements under negotiation.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Response to RFP due October 6,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Power</w:t>
            </w:r>
          </w:p>
          <w:p>
            <w:pPr>
              <w:pStyle w:val="Normal"/>
              <w:jc w:val="both"/>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 xml:space="preserve">Preparation of Canadian standard form master physical power trading agreement.  Second draft circulated for comments.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Waterous Securities engaged for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Nitrochem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regarding the provision of energy supply, portfolio, a risk management and settlement services and cogeneration development has been executed.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Piper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Negotiation of gas management services agreement for British Columbia production.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Beau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October 15</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Transportation assignment and re-structuring of SOCAL long-term gas deal.</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Nov. 1,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review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a retail energy affiliate for Canadian jurisdictions.</w:t>
            </w:r>
          </w:p>
        </w:tc>
      </w:tr>
    </w:tbl>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/mnt/main-storage/datasets/enron-docs/doc/finance12.report-95d9df3d1be8f33c8672f19d8f86c126468c1cf9dde1e1c911c4235e4ecab612.doc</w:t>
    </w:r>
    <w:r>
      <w:rPr>
        <w:sz w:val="16"/>
        <w:rFonts w:cs="Arial Narrow" w:ascii="Arial Narrow" w:hAnsi="Arial Narrow"/>
        <w:lang w:eastAsia="en-US"/>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9:31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2000-10-10T15:29:00Z</dcterms:created>
  <dc:creator>Linda Sietzema</dc:creator>
  <dc:description/>
  <dc:language>en-CA</dc:language>
  <cp:lastModifiedBy>scrawfo3</cp:lastModifiedBy>
  <cp:lastPrinted>2000-10-13T12:13:00Z</cp:lastPrinted>
  <dcterms:modified xsi:type="dcterms:W3CDTF">2000-10-13T15:43:00Z</dcterms:modified>
  <cp:revision>5</cp:revision>
  <dc:subject/>
  <dc:title>Legal Transaction Status Report – Enron NA</dc:title>
</cp:coreProperties>
</file>