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u w:val="none"/>
        </w:rPr>
      </w:pPr>
      <w:r>
        <w:rPr>
          <w:b w:val="false"/>
          <w:u w:val="none"/>
        </w:rPr>
        <w:t>October 24, 2001</w:t>
      </w:r>
    </w:p>
    <w:p>
      <w:pPr>
        <w:pStyle w:val="Heading"/>
        <w:rPr/>
      </w:pPr>
      <w:r>
        <w:rPr/>
        <w:t>LEGAL STATUS REPORT – ENRON CANADA</w:t>
      </w:r>
    </w:p>
    <w:p>
      <w:pPr>
        <w:pStyle w:val="Normal"/>
        <w:jc w:val="both"/>
        <w:rPr>
          <w:rFonts w:ascii="Arial" w:hAnsi="Arial" w:cs="Arial"/>
        </w:rPr>
      </w:pPr>
      <w:r>
        <w:rPr>
          <w:rFonts w:cs="Arial" w:ascii="Arial" w:hAnsi="Arial"/>
        </w:rPr>
      </w:r>
    </w:p>
    <w:tbl>
      <w:tblPr>
        <w:tblW w:w="13158" w:type="dxa"/>
        <w:jc w:val="start"/>
        <w:tblInd w:w="0" w:type="dxa"/>
        <w:tblLayout w:type="fixed"/>
        <w:tblCellMar>
          <w:top w:w="0" w:type="dxa"/>
          <w:start w:w="108" w:type="dxa"/>
          <w:bottom w:w="0" w:type="dxa"/>
          <w:end w:w="108" w:type="dxa"/>
        </w:tblCellMar>
      </w:tblPr>
      <w:tblGrid>
        <w:gridCol w:w="2178"/>
        <w:gridCol w:w="1890"/>
        <w:gridCol w:w="1890"/>
        <w:gridCol w:w="1710"/>
        <w:gridCol w:w="5490"/>
      </w:tblGrid>
      <w:tr>
        <w:trPr>
          <w:tblHeader w:val="true"/>
        </w:trPr>
        <w:tc>
          <w:tcPr>
            <w:tcW w:w="2178" w:type="dxa"/>
            <w:tcBorders>
              <w:top w:val="single" w:sz="4" w:space="0" w:color="000000"/>
              <w:start w:val="single" w:sz="4" w:space="0" w:color="000000"/>
              <w:bottom w:val="single" w:sz="4" w:space="0" w:color="000000"/>
              <w:end w:val="single" w:sz="4" w:space="0" w:color="000000"/>
            </w:tcBorders>
          </w:tcPr>
          <w:p>
            <w:pPr>
              <w:pStyle w:val="Subtitle"/>
              <w:rPr/>
            </w:pPr>
            <w:r>
              <w:rPr/>
              <w:t>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RESPONSIBLE ATTORNEY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BUSINESS PERSON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PROJECTED CLOSING</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STATUS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Project Canary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Proposed transmission by-pass and power supply arrangement to TransAlta's Highvale Coal Mine.  Confidentiality Agreement executed.  MOU and Exclusivity Agreement executed.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Project Redford</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Don Miller</w:t>
            </w:r>
          </w:p>
          <w:p>
            <w:pPr>
              <w:pStyle w:val="Normal"/>
              <w:rPr>
                <w:rFonts w:ascii="Arial" w:hAnsi="Arial" w:cs="Arial"/>
              </w:rPr>
            </w:pPr>
            <w:r>
              <w:rPr>
                <w:rFonts w:cs="Arial" w:ascii="Arial" w:hAnsi="Arial"/>
              </w:rPr>
              <w:t>Derek Davies</w:t>
            </w:r>
          </w:p>
          <w:p>
            <w:pPr>
              <w:pStyle w:val="Normal"/>
              <w:rPr>
                <w:rFonts w:ascii="Arial" w:hAnsi="Arial" w:cs="Arial"/>
              </w:rPr>
            </w:pPr>
            <w:r>
              <w:rPr>
                <w:rFonts w:cs="Arial" w:ascii="Arial" w:hAnsi="Arial"/>
              </w:rPr>
              <w:t>John Zufferli</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Sale of a separate Unit PPA.  Letter received from the Government allowing “split” of Unit PPAs.  Draft regulation and split PPAs in process.  TAU and Balancing Pool have provided consent to split PPAs.  Working on drafts of CIM, Master Due Diligence Index, "virtual" data room and draft sale documentation.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Alberta PPA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Numerous ongoing activities respecting monetization structures, regulatory and market rule issues, system access and transmission issues, market surveillance, operational, environmental and billing issues with TAU, etc.  Notice of arbitration sent to TransAlta re: outstanding billing issues.  Most billing disputes resolved in connection with consent to splitting PPAs.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British Energy Canada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Ontario Market Opening (Projected for May, 2002)</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term firm PPA for 500 MW/h executed, conditional on Ontario market deregulation by December 31, 2002.  Amending Agreement executed.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Off-Take of British Energy Power</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 xml:space="preserve">Peter Keohane </w:t>
            </w:r>
          </w:p>
          <w:p>
            <w:pPr>
              <w:pStyle w:val="Header"/>
              <w:tabs>
                <w:tab w:val="clear" w:pos="4320"/>
                <w:tab w:val="clear" w:pos="8640"/>
              </w:tabs>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Ontario Market Opening (Projected for May, 2002)</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Firm PPAs, conditional on Ontario market deregulation with various counterparties to hedge British Energy position.</w:t>
            </w:r>
          </w:p>
          <w:p>
            <w:pPr>
              <w:pStyle w:val="Normal"/>
              <w:jc w:val="both"/>
              <w:rPr>
                <w:rFonts w:ascii="Arial" w:hAnsi="Arial" w:cs="Arial"/>
              </w:rPr>
            </w:pPr>
            <w:r>
              <w:rPr>
                <w:rFonts w:cs="Arial" w:ascii="Arial" w:hAnsi="Arial"/>
              </w:rPr>
              <w:t>36 MW, 3-year contract executed with Sunoco (not yet extended).</w:t>
            </w:r>
          </w:p>
          <w:p>
            <w:pPr>
              <w:pStyle w:val="Normal"/>
              <w:jc w:val="both"/>
              <w:rPr>
                <w:rFonts w:ascii="Arial" w:hAnsi="Arial" w:cs="Arial"/>
              </w:rPr>
            </w:pPr>
            <w:r>
              <w:rPr>
                <w:rFonts w:cs="Arial" w:ascii="Arial" w:hAnsi="Arial"/>
              </w:rPr>
              <w:t>100 MW, 2-year contract executed with TransCanada Energy (not yet extended).</w:t>
            </w:r>
          </w:p>
          <w:p>
            <w:pPr>
              <w:pStyle w:val="Normal"/>
              <w:jc w:val="both"/>
              <w:rPr>
                <w:rFonts w:ascii="Arial" w:hAnsi="Arial" w:cs="Arial"/>
              </w:rPr>
            </w:pPr>
            <w:r>
              <w:rPr>
                <w:rFonts w:cs="Arial" w:ascii="Arial" w:hAnsi="Arial"/>
              </w:rPr>
              <w:t>48 MW, 3-year contract executed with IVACO (extension circulated for execution).</w:t>
            </w:r>
          </w:p>
          <w:p>
            <w:pPr>
              <w:pStyle w:val="Normal"/>
              <w:jc w:val="both"/>
              <w:rPr>
                <w:rFonts w:ascii="Arial" w:hAnsi="Arial" w:cs="Arial"/>
              </w:rPr>
            </w:pPr>
            <w:r>
              <w:rPr>
                <w:rFonts w:cs="Arial" w:ascii="Arial" w:hAnsi="Arial"/>
              </w:rPr>
              <w:t>30 MW, 3-year contract executed with Atlantic Packaging (extension executed).</w:t>
            </w:r>
          </w:p>
          <w:p>
            <w:pPr>
              <w:pStyle w:val="Normal"/>
              <w:jc w:val="both"/>
              <w:rPr>
                <w:rFonts w:ascii="Arial" w:hAnsi="Arial" w:cs="Arial"/>
              </w:rPr>
            </w:pPr>
            <w:r>
              <w:rPr>
                <w:rFonts w:cs="Arial" w:ascii="Arial" w:hAnsi="Arial"/>
              </w:rPr>
              <w:t>13 MW 3-year contract with Premstar near execution (backed financially).</w:t>
            </w:r>
          </w:p>
          <w:p>
            <w:pPr>
              <w:pStyle w:val="Normal"/>
              <w:jc w:val="both"/>
              <w:rPr>
                <w:rFonts w:ascii="Arial" w:hAnsi="Arial" w:cs="Arial"/>
              </w:rPr>
            </w:pPr>
            <w:r>
              <w:rPr>
                <w:rFonts w:cs="Arial" w:ascii="Arial" w:hAnsi="Arial"/>
              </w:rPr>
              <w:t>25/40/55 MW, 3-year contract with Domtar executed.</w:t>
            </w:r>
          </w:p>
          <w:p>
            <w:pPr>
              <w:pStyle w:val="Normal"/>
              <w:jc w:val="both"/>
              <w:rPr>
                <w:rFonts w:ascii="Arial" w:hAnsi="Arial" w:cs="Arial"/>
              </w:rPr>
            </w:pPr>
            <w:r>
              <w:rPr>
                <w:rFonts w:cs="Arial" w:ascii="Arial" w:hAnsi="Arial"/>
              </w:rPr>
              <w:t>Commenced negotiations with Royal Technologies (50 MW) and Casco Inc. (11 MW).  Draft agreement being reviewed by several other counterparties.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ENERconnect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Commencing on Ontario Market Opening (Projected for May, 2002)</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retail electricity services and alliance agreement.    Amended and restated agreement has been executed.  MEU Extension letter agreements executed.  Preparing replacement documentation for new counterparties.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Government of Ontario NUG</w:t>
            </w:r>
          </w:p>
          <w:p>
            <w:pPr>
              <w:pStyle w:val="Normal"/>
              <w:rPr>
                <w:rFonts w:ascii="Arial" w:hAnsi="Arial" w:cs="Arial"/>
              </w:rPr>
            </w:pPr>
            <w:r>
              <w:rPr>
                <w:rFonts w:cs="Arial" w:ascii="Arial" w:hAnsi="Arial"/>
              </w:rPr>
              <w:t>Contract RFP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Closed September 20,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Agreement for management of the Non-Utility Generation Contracts on behalf of the Government of Ontario executed.  Implementation of services arrangement.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Energy Services Agreements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Jeff Borg</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Negotiating services agreements with various counterparties.  Executed Agreement with Sunoco (3 yr. term) and Domtar (3 yr. term).  Execution copies of Ivaco agreement have been circulated.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Blue Range Resource Corporation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Final dividend approved.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Moore Power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 xml:space="preserve">Kyle Kitagawa </w:t>
            </w:r>
          </w:p>
          <w:p>
            <w:pPr>
              <w:pStyle w:val="Normal"/>
              <w:jc w:val="both"/>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Discussions currently with various potential purchasers regarding the acquisition either of the turbines or the project (turbines, queue position, land option, permitting).  Turbine purchase agreements have been distributed to some of the potential buyers for review.  U.S. Department of Energy permit application regarding the international power line has been submitted and is being reviewed.  NEB permit application is being finalized for submission.  Turbines transferred to ENA for sale through EOL.</w:t>
            </w:r>
          </w:p>
        </w:tc>
      </w:tr>
      <w:tr>
        <w:trPr/>
        <w:tc>
          <w:tcPr>
            <w:tcW w:w="2178" w:type="dxa"/>
            <w:vMerge w:val="restart"/>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Forms</w:t>
            </w:r>
          </w:p>
        </w:tc>
        <w:tc>
          <w:tcPr>
            <w:tcW w:w="1890" w:type="dxa"/>
            <w:tcBorders>
              <w:top w:val="single" w:sz="4"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t>Chris Gaffney</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Derek Davies</w:t>
            </w:r>
          </w:p>
        </w:tc>
        <w:tc>
          <w:tcPr>
            <w:tcW w:w="1710" w:type="dxa"/>
            <w:tcBorders>
              <w:top w:val="single" w:sz="4"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N/A</w:t>
            </w:r>
          </w:p>
        </w:tc>
        <w:tc>
          <w:tcPr>
            <w:tcW w:w="5490" w:type="dxa"/>
            <w:tcBorders>
              <w:top w:val="single" w:sz="4" w:space="0" w:color="000000"/>
              <w:start w:val="single" w:sz="4" w:space="0" w:color="000000"/>
              <w:bottom w:val="dashSmallGap" w:sz="8" w:space="0" w:color="000000"/>
              <w:end w:val="single" w:sz="4" w:space="0" w:color="000000"/>
            </w:tcBorders>
          </w:tcPr>
          <w:p>
            <w:pPr>
              <w:pStyle w:val="Header"/>
              <w:tabs>
                <w:tab w:val="clear" w:pos="4320"/>
                <w:tab w:val="clear" w:pos="8640"/>
                <w:tab w:val="left" w:pos="252" w:leader="none"/>
              </w:tabs>
              <w:jc w:val="both"/>
              <w:rPr/>
            </w:pPr>
            <w:r>
              <w:rPr>
                <w:rFonts w:eastAsia="Symbol" w:cs="Symbol" w:ascii="Symbol" w:hAnsi="Symbol"/>
              </w:rPr>
              <w:sym w:font="Symbol" w:char="f0b7"/>
            </w:r>
            <w:r>
              <w:rPr>
                <w:rFonts w:cs="Arial" w:ascii="Arial" w:hAnsi="Arial"/>
              </w:rPr>
              <w:tab/>
              <w:t>Globalization of set-off language implemented.</w:t>
            </w:r>
          </w:p>
          <w:p>
            <w:pPr>
              <w:pStyle w:val="Header"/>
              <w:tabs>
                <w:tab w:val="clear" w:pos="4320"/>
                <w:tab w:val="clear" w:pos="8640"/>
                <w:tab w:val="left" w:pos="252" w:leader="none"/>
              </w:tabs>
              <w:jc w:val="both"/>
              <w:rPr/>
            </w:pPr>
            <w:r>
              <w:rPr>
                <w:rFonts w:eastAsia="Symbol" w:cs="Symbol" w:ascii="Symbol" w:hAnsi="Symbol"/>
              </w:rPr>
              <w:sym w:font="Symbol" w:char="f0b7"/>
            </w:r>
            <w:r>
              <w:rPr>
                <w:rFonts w:cs="Arial" w:ascii="Arial" w:hAnsi="Arial"/>
              </w:rPr>
              <w:tab/>
              <w:t>Globalization of default language under consideration.</w:t>
            </w:r>
          </w:p>
        </w:tc>
      </w:tr>
      <w:tr>
        <w:trPr/>
        <w:tc>
          <w:tcPr>
            <w:tcW w:w="217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890" w:type="dxa"/>
            <w:tcBorders>
              <w:top w:val="dashSmallGap" w:sz="8"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dashSmallGap" w:sz="8"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Garrett Tripp</w:t>
            </w:r>
          </w:p>
        </w:tc>
        <w:tc>
          <w:tcPr>
            <w:tcW w:w="1710" w:type="dxa"/>
            <w:tcBorders>
              <w:top w:val="dashSmallGap" w:sz="8" w:space="0" w:color="000000"/>
              <w:start w:val="single" w:sz="4" w:space="0" w:color="000000"/>
              <w:bottom w:val="dashSmallGap" w:sz="8" w:space="0" w:color="000000"/>
              <w:end w:val="single" w:sz="4" w:space="0" w:color="000000"/>
            </w:tcBorders>
          </w:tcPr>
          <w:p>
            <w:pPr>
              <w:pStyle w:val="Normal"/>
              <w:jc w:val="both"/>
              <w:rPr/>
            </w:pPr>
            <w:r>
              <w:rPr>
                <w:rFonts w:cs="Arial" w:ascii="Arial" w:hAnsi="Arial"/>
              </w:rPr>
              <w:t>1</w:t>
            </w:r>
            <w:r>
              <w:rPr>
                <w:rFonts w:cs="Arial" w:ascii="Arial" w:hAnsi="Arial"/>
                <w:vertAlign w:val="superscript"/>
              </w:rPr>
              <w:t>st</w:t>
            </w:r>
            <w:r>
              <w:rPr>
                <w:rFonts w:cs="Arial" w:ascii="Arial" w:hAnsi="Arial"/>
              </w:rPr>
              <w:t xml:space="preserve"> Qtr. 2002</w:t>
            </w:r>
          </w:p>
        </w:tc>
        <w:tc>
          <w:tcPr>
            <w:tcW w:w="5490" w:type="dxa"/>
            <w:tcBorders>
              <w:top w:val="dashSmallGap" w:sz="8" w:space="0" w:color="000000"/>
              <w:start w:val="single" w:sz="4" w:space="0" w:color="000000"/>
              <w:bottom w:val="dashSmallGap" w:sz="8"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of Ontario standard physical (power) master agreement with committee of Ontario market participants based on EEI form.  Draft form circulated to market participants for comment.</w:t>
            </w:r>
          </w:p>
        </w:tc>
      </w:tr>
      <w:tr>
        <w:trPr/>
        <w:tc>
          <w:tcPr>
            <w:tcW w:w="217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89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r>
          </w:p>
        </w:tc>
        <w:tc>
          <w:tcPr>
            <w:tcW w:w="189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Jon McKay</w:t>
            </w:r>
          </w:p>
          <w:p>
            <w:pPr>
              <w:pStyle w:val="Normal"/>
              <w:jc w:val="both"/>
              <w:rPr>
                <w:rFonts w:ascii="Arial" w:hAnsi="Arial" w:cs="Arial"/>
              </w:rPr>
            </w:pPr>
            <w:r>
              <w:rPr>
                <w:rFonts w:cs="Arial" w:ascii="Arial" w:hAnsi="Arial"/>
              </w:rPr>
              <w:t>Chris Lambie</w:t>
            </w:r>
          </w:p>
          <w:p>
            <w:pPr>
              <w:pStyle w:val="Normal"/>
              <w:jc w:val="both"/>
              <w:rPr>
                <w:rFonts w:ascii="Arial" w:hAnsi="Arial" w:cs="Arial"/>
              </w:rPr>
            </w:pPr>
            <w:r>
              <w:rPr>
                <w:rFonts w:cs="Arial" w:ascii="Arial" w:hAnsi="Arial"/>
              </w:rPr>
              <w:t>Chad Clark</w:t>
            </w:r>
          </w:p>
        </w:tc>
        <w:tc>
          <w:tcPr>
            <w:tcW w:w="171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N/A</w:t>
            </w:r>
          </w:p>
        </w:tc>
        <w:tc>
          <w:tcPr>
            <w:tcW w:w="5490" w:type="dxa"/>
            <w:tcBorders>
              <w:top w:val="dashSmallGap" w:sz="8"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of new delivery point, force majeure and deficiency default language for British Columbia gas sales.</w:t>
            </w:r>
          </w:p>
        </w:tc>
      </w:tr>
      <w:tr>
        <w:trPr/>
        <w:tc>
          <w:tcPr>
            <w:tcW w:w="217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89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N/A</w:t>
            </w:r>
          </w:p>
          <w:p>
            <w:pPr>
              <w:pStyle w:val="Normal"/>
              <w:jc w:val="both"/>
              <w:rPr>
                <w:rFonts w:ascii="Arial" w:hAnsi="Arial" w:cs="Arial"/>
              </w:rPr>
            </w:pPr>
            <w:r>
              <w:rPr>
                <w:rFonts w:cs="Arial" w:ascii="Arial" w:hAnsi="Arial"/>
              </w:rPr>
              <w:t>N/A</w:t>
            </w:r>
          </w:p>
        </w:tc>
        <w:tc>
          <w:tcPr>
            <w:tcW w:w="171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N/A</w:t>
            </w:r>
          </w:p>
          <w:p>
            <w:pPr>
              <w:pStyle w:val="Normal"/>
              <w:jc w:val="both"/>
              <w:rPr>
                <w:rFonts w:ascii="Arial" w:hAnsi="Arial" w:cs="Arial"/>
              </w:rPr>
            </w:pPr>
            <w:r>
              <w:rPr>
                <w:rFonts w:cs="Arial" w:ascii="Arial" w:hAnsi="Arial"/>
              </w:rPr>
              <w:t>N/A</w:t>
            </w:r>
          </w:p>
        </w:tc>
        <w:tc>
          <w:tcPr>
            <w:tcW w:w="5490" w:type="dxa"/>
            <w:tcBorders>
              <w:top w:val="dashSmallGap" w:sz="8"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of Master Netting, Set-Off and Collateral Agreement.</w:t>
            </w:r>
          </w:p>
          <w:p>
            <w:pPr>
              <w:pStyle w:val="Header"/>
              <w:tabs>
                <w:tab w:val="clear" w:pos="4320"/>
                <w:tab w:val="clear" w:pos="8640"/>
              </w:tabs>
              <w:jc w:val="both"/>
              <w:rPr>
                <w:rFonts w:ascii="Arial" w:hAnsi="Arial" w:cs="Arial"/>
              </w:rPr>
            </w:pPr>
            <w:r>
              <w:rPr>
                <w:rFonts w:cs="Arial" w:ascii="Arial" w:hAnsi="Arial"/>
              </w:rPr>
              <w:t>Preparation of wholesale commodity products/confirmations addressing retail issues for use under wholesale Master Agreements, etc.</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Enron Direct Canadian Retail (Power and Gas) Initiative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p>
            <w:pPr>
              <w:pStyle w:val="Normal"/>
              <w:jc w:val="both"/>
              <w:rPr>
                <w:rFonts w:ascii="Arial" w:hAnsi="Arial" w:cs="Arial"/>
              </w:rPr>
            </w:pPr>
            <w:r>
              <w:rPr>
                <w:rFonts w:cs="Arial" w:ascii="Arial" w:hAnsi="Arial"/>
              </w:rPr>
              <w:t>Derek Flaman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Darren Cross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vMerge w:val="restart"/>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Retail electricity and natural gas affiliate for Canadian jurisdictions.  Developing and negotiating retail gas and electricity contracts.  Reviewing, commenting and amending proposed mechanics of infrastructure service for natural gas and power through regulatory hearings dealing with the distribution companies and applicable regulators.  Acquiring licenses, support contracts and addressing numerous other necessary new market and business matters.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Enron Direct Ontario Retail (Power and Gas) Initiative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p>
            <w:pPr>
              <w:pStyle w:val="Normal"/>
              <w:jc w:val="both"/>
              <w:rPr>
                <w:rFonts w:ascii="Arial" w:hAnsi="Arial" w:cs="Arial"/>
              </w:rPr>
            </w:pPr>
            <w:r>
              <w:rPr>
                <w:rFonts w:cs="Arial" w:ascii="Arial" w:hAnsi="Arial"/>
              </w:rPr>
              <w:t>Derek Flaman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vMerge w:val="continue"/>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jc w:val="both"/>
              <w:rPr>
                <w:rFonts w:ascii="Arial" w:hAnsi="Arial" w:cs="Arial"/>
              </w:rPr>
            </w:pPr>
            <w:r>
              <w:rPr>
                <w:rFonts w:cs="Arial" w:ascii="Arial" w:hAnsi="Arial"/>
              </w:rPr>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0" w:start="3600" w:end="0"/>
        <w:jc w:val="both"/>
        <w:rPr>
          <w:rFonts w:ascii="Arial" w:hAnsi="Arial" w:cs="Arial"/>
          <w:u w:val="single"/>
        </w:rPr>
      </w:pPr>
      <w:r>
        <w:rPr>
          <w:rFonts w:cs="Arial" w:ascii="Arial" w:hAnsi="Arial"/>
          <w:u w:val="single"/>
        </w:rPr>
        <w:t>Non-Transactional/Other Matters:</w:t>
      </w:r>
    </w:p>
    <w:p>
      <w:pPr>
        <w:pStyle w:val="Normal"/>
        <w:ind w:hanging="3600" w:start="3600" w:end="0"/>
        <w:jc w:val="both"/>
        <w:rPr>
          <w:rFonts w:ascii="Arial" w:hAnsi="Arial" w:cs="Arial"/>
          <w:u w:val="single"/>
        </w:rPr>
      </w:pPr>
      <w:r>
        <w:rPr>
          <w:rFonts w:cs="Arial" w:ascii="Arial" w:hAnsi="Arial"/>
          <w:u w:val="single"/>
        </w:rPr>
      </w:r>
    </w:p>
    <w:p>
      <w:pPr>
        <w:pStyle w:val="Normal"/>
        <w:numPr>
          <w:ilvl w:val="0"/>
          <w:numId w:val="1"/>
        </w:numPr>
        <w:jc w:val="both"/>
        <w:rPr>
          <w:rFonts w:ascii="Arial" w:hAnsi="Arial" w:cs="Arial"/>
        </w:rPr>
      </w:pPr>
      <w:r>
        <w:rPr>
          <w:rFonts w:cs="Arial" w:ascii="Arial" w:hAnsi="Arial"/>
        </w:rPr>
        <w:t>Competition Law Seminar – Ontario seminar scheduled for November 2001 (Peter Keohane/Chris Gaffney).</w:t>
      </w:r>
    </w:p>
    <w:p>
      <w:pPr>
        <w:pStyle w:val="Normal"/>
        <w:numPr>
          <w:ilvl w:val="0"/>
          <w:numId w:val="1"/>
        </w:numPr>
        <w:jc w:val="both"/>
        <w:rPr>
          <w:rFonts w:ascii="Arial" w:hAnsi="Arial" w:cs="Arial"/>
          <w:sz w:val="22"/>
        </w:rPr>
      </w:pPr>
      <w:r>
        <w:rPr>
          <w:rFonts w:cs="Arial" w:ascii="Arial" w:hAnsi="Arial"/>
        </w:rPr>
        <w:t>Legal Trading Seminar (Gas and Power) - Scheduled for November 2001 (Greg Johnston).</w:t>
      </w:r>
    </w:p>
    <w:sectPr>
      <w:headerReference w:type="default" r:id="rId2"/>
      <w:headerReference w:type="first" r:id="rId3"/>
      <w:footerReference w:type="default" r:id="rId4"/>
      <w:footerReference w:type="first" r:id="rId5"/>
      <w:type w:val="nextPage"/>
      <w:pgSz w:orient="landscape" w:w="15840" w:h="12240"/>
      <w:pgMar w:left="1440" w:right="1440" w:gutter="0" w:header="720" w:top="776" w:footer="288"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/mnt/main-storage/datasets/enron-docs/doc/finance.37.report.doc</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/mnt/main-storage/datasets/enron-docs/doc/finance.37.report.doc</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rPr>
    </w:pPr>
    <w:r>
      <w:rPr>
        <w:rFonts w:cs="Arial" w:ascii="Arial" w:hAnsi="Arial"/>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jc w:val="end"/>
      <w:rPr>
        <w:rStyle w:val="PageNumber"/>
        <w:rFonts w:ascii="Arial" w:hAnsi="Arial" w:cs="Ari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bCs/>
      </w:rPr>
    </w:pPr>
    <w:r>
      <w:rPr>
        <w:rFonts w:cs="Arial" w:ascii="Arial" w:hAnsi="Arial"/>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2001-10-24T18:26:00Z</dcterms:created>
  <dc:creator>Linda Sietzema</dc:creator>
  <dc:description/>
  <dc:language>en-CA</dc:language>
  <cp:lastModifiedBy>scrawfo3</cp:lastModifiedBy>
  <cp:lastPrinted>2001-10-17T12:06:00Z</cp:lastPrinted>
  <dcterms:modified xsi:type="dcterms:W3CDTF">2001-10-24T18:27:00Z</dcterms:modified>
  <cp:revision>3</cp:revision>
  <dc:subject/>
  <dc:title>Legal Transaction Status Report – Enron NA</dc:title>
</cp:coreProperties>
</file>