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i/>
          <w:i/>
          <w:iCs/>
        </w:rPr>
      </w:pPr>
      <w:r>
        <w:rPr>
          <w:b/>
          <w:bCs/>
          <w:i/>
          <w:iCs/>
        </w:rPr>
        <w:t>FINAL EXAM</w:t>
      </w:r>
    </w:p>
    <w:p>
      <w:pPr>
        <w:pStyle w:val="Normal"/>
        <w:jc w:val="center"/>
        <w:rPr>
          <w:b/>
          <w:bCs/>
          <w:i/>
          <w:i/>
          <w:iCs/>
        </w:rPr>
      </w:pPr>
      <w:r>
        <w:rPr>
          <w:b/>
          <w:bCs/>
          <w:i/>
          <w:iCs/>
        </w:rPr>
        <w:t>The AT&amp;T-NCR Merger</w:t>
      </w:r>
    </w:p>
    <w:p>
      <w:pPr>
        <w:pStyle w:val="Normal"/>
        <w:rPr>
          <w:b/>
          <w:bCs/>
          <w:i/>
          <w:i/>
          <w:iCs/>
        </w:rPr>
      </w:pPr>
      <w:r>
        <w:rPr>
          <w:b/>
          <w:bCs/>
          <w:i/>
          <w:iCs/>
        </w:rPr>
      </w:r>
    </w:p>
    <w:p>
      <w:pPr>
        <w:pStyle w:val="Normal"/>
        <w:rPr/>
      </w:pPr>
      <w:r>
        <w:rPr/>
      </w:r>
    </w:p>
    <w:p>
      <w:pPr>
        <w:pStyle w:val="BodyTextIndent"/>
        <w:rPr/>
      </w:pPr>
      <w:r>
        <w:rPr/>
        <w:t>Question #1:</w:t>
        <w:tab/>
        <w:t>Should the AT&amp;T-NCR merger be accounted for as a purchase or as a pooling of interests?  Make a list of reasons why AT&amp;T would prefer to account for the NCR acquisition as a pooling of interests.</w:t>
      </w:r>
    </w:p>
    <w:p>
      <w:pPr>
        <w:pStyle w:val="Normal"/>
        <w:ind w:hanging="1440" w:start="1440" w:end="0"/>
        <w:rPr/>
      </w:pPr>
      <w:r>
        <w:rPr/>
      </w:r>
    </w:p>
    <w:p>
      <w:pPr>
        <w:pStyle w:val="Normal"/>
        <w:ind w:firstLine="720" w:end="0"/>
        <w:rPr/>
      </w:pPr>
      <w:r>
        <w:rPr/>
        <w:t xml:space="preserve">In my opinion, the merger should be accounted for as a purchase.  </w:t>
      </w:r>
    </w:p>
    <w:p>
      <w:pPr>
        <w:pStyle w:val="Normal"/>
        <w:ind w:firstLine="720" w:end="0"/>
        <w:rPr/>
      </w:pPr>
      <w:r>
        <w:rPr/>
      </w:r>
    </w:p>
    <w:p>
      <w:pPr>
        <w:pStyle w:val="Normal"/>
        <w:ind w:firstLine="720" w:end="0"/>
        <w:rPr/>
      </w:pPr>
      <w:r>
        <w:rPr/>
        <w:t>First, the distribution of the special $1-a-share dividend payment clearly violates the condition set forth in APB Opinion No. 16.  That condition states, “[n]one of the combining companies changes the equity interests of the voting common stock in contemplation of effecting the combination, either within two years before the plan of combination is initiated or between the dates the combination is initiated and consummated…”</w:t>
      </w:r>
      <w:r>
        <w:rPr>
          <w:rStyle w:val="FootnoteCharacters"/>
          <w:rStyle w:val="FootnoteReference"/>
        </w:rPr>
        <w:footnoteReference w:id="2"/>
      </w:r>
    </w:p>
    <w:p>
      <w:pPr>
        <w:pStyle w:val="Normal"/>
        <w:ind w:firstLine="720" w:end="0"/>
        <w:rPr/>
      </w:pPr>
      <w:r>
        <w:rPr/>
      </w:r>
    </w:p>
    <w:p>
      <w:pPr>
        <w:pStyle w:val="Normal"/>
        <w:ind w:firstLine="720" w:end="0"/>
        <w:rPr/>
      </w:pPr>
      <w:r>
        <w:rPr/>
        <w:t xml:space="preserve">It’s surprising that SEC staff would permit NCR to reduce future dividend distributions in order to counteract previous distributions.  As pointed out in the article in Exhibit 7 of the case, those previous distributions clearly conflicted with APB Opinion No. 16, and reducing future dividend distributions doesn’t seem to negate that fact. </w:t>
      </w:r>
    </w:p>
    <w:p>
      <w:pPr>
        <w:pStyle w:val="Normal"/>
        <w:ind w:firstLine="720" w:end="0"/>
        <w:rPr/>
      </w:pPr>
      <w:r>
        <w:rPr/>
      </w:r>
    </w:p>
    <w:p>
      <w:pPr>
        <w:pStyle w:val="Normal"/>
        <w:ind w:firstLine="720" w:end="0"/>
        <w:rPr/>
      </w:pPr>
      <w:r>
        <w:rPr/>
        <w:t>Second, as stated in the course textbook, pooling is premised on the notion that “…no new business entity has been created.”</w:t>
      </w:r>
      <w:r>
        <w:rPr>
          <w:rStyle w:val="FootnoteCharacters"/>
          <w:rStyle w:val="FootnoteReference"/>
        </w:rPr>
        <w:footnoteReference w:id="3"/>
      </w:r>
      <w:r>
        <w:rPr/>
        <w:t xml:space="preserve">  According to the case, AT&amp;T CEO Allen stated that the merger was based on AT&amp;T’s “[i]ntent …to equip AT&amp;T to ride the wave of networked computing that’s growing three times faster than the computer business as a whole.”</w:t>
      </w:r>
      <w:r>
        <w:rPr>
          <w:rStyle w:val="FootnoteCharacters"/>
          <w:rStyle w:val="FootnoteReference"/>
        </w:rPr>
        <w:footnoteReference w:id="4"/>
      </w:r>
      <w:r>
        <w:rPr/>
        <w:t xml:space="preserve">  Both AT&amp;T and NCR could best be viewed as having computer and computer services-related businesses.  But from the information provided, neither AT&amp;T nor NCR could be viewed as a “networked computer” services company.  Therefore, the combination is more appropriately viewed as a new business entity.</w:t>
      </w:r>
    </w:p>
    <w:p>
      <w:pPr>
        <w:pStyle w:val="Normal"/>
        <w:ind w:firstLine="720" w:end="0"/>
        <w:rPr/>
      </w:pPr>
      <w:r>
        <w:rPr/>
      </w:r>
    </w:p>
    <w:p>
      <w:pPr>
        <w:pStyle w:val="Header"/>
        <w:numPr>
          <w:ilvl w:val="0"/>
          <w:numId w:val="3"/>
        </w:numPr>
        <w:tabs>
          <w:tab w:val="clear" w:pos="4320"/>
          <w:tab w:val="clear" w:pos="8640"/>
        </w:tabs>
        <w:ind w:hanging="288" w:start="360" w:end="0"/>
        <w:rPr>
          <w:i/>
          <w:i/>
          <w:iCs/>
        </w:rPr>
      </w:pPr>
      <w:r>
        <w:rPr>
          <w:i/>
          <w:iCs/>
        </w:rPr>
        <w:t>For the following reasons, AT&amp;T would prefer to account for the NCR acquisition as a pooling of interests.</w:t>
      </w:r>
    </w:p>
    <w:p>
      <w:pPr>
        <w:pStyle w:val="Header"/>
        <w:tabs>
          <w:tab w:val="clear" w:pos="4320"/>
          <w:tab w:val="clear" w:pos="8640"/>
        </w:tabs>
        <w:rPr>
          <w:i/>
          <w:i/>
          <w:iCs/>
        </w:rPr>
      </w:pPr>
      <w:r>
        <w:rPr>
          <w:i/>
          <w:iCs/>
        </w:rPr>
      </w:r>
    </w:p>
    <w:p>
      <w:pPr>
        <w:pStyle w:val="Header"/>
        <w:numPr>
          <w:ilvl w:val="0"/>
          <w:numId w:val="2"/>
        </w:numPr>
        <w:tabs>
          <w:tab w:val="clear" w:pos="4320"/>
          <w:tab w:val="clear" w:pos="8640"/>
        </w:tabs>
        <w:ind w:hanging="360" w:start="720" w:end="0"/>
        <w:rPr/>
      </w:pPr>
      <w:r>
        <w:rPr/>
        <w:t>The pooling boosts net income compared to the purchase method.</w:t>
      </w:r>
    </w:p>
    <w:p>
      <w:pPr>
        <w:pStyle w:val="Header"/>
        <w:numPr>
          <w:ilvl w:val="0"/>
          <w:numId w:val="2"/>
        </w:numPr>
        <w:tabs>
          <w:tab w:val="clear" w:pos="4320"/>
          <w:tab w:val="clear" w:pos="8640"/>
        </w:tabs>
        <w:ind w:hanging="360" w:start="720" w:end="0"/>
        <w:rPr/>
      </w:pPr>
      <w:r>
        <w:rPr/>
        <w:t>The pooling method is likely to improve financial ratios, which in turn will boost management’s total compensation under applicable incentive programs.</w:t>
      </w:r>
    </w:p>
    <w:p>
      <w:pPr>
        <w:pStyle w:val="Header"/>
        <w:numPr>
          <w:ilvl w:val="0"/>
          <w:numId w:val="2"/>
        </w:numPr>
        <w:tabs>
          <w:tab w:val="clear" w:pos="4320"/>
          <w:tab w:val="clear" w:pos="8640"/>
        </w:tabs>
        <w:ind w:hanging="360" w:start="720" w:end="0"/>
        <w:rPr/>
      </w:pPr>
      <w:r>
        <w:rPr/>
        <w:t>The pooling method permits management to avoid justifying the premium paid over book; and eliminates the risk that management might have to write off the premium (goodwill) if management fails to extract enough value from NCR’s assets to justify the premium paid.</w:t>
      </w:r>
    </w:p>
    <w:p>
      <w:pPr>
        <w:pStyle w:val="Header"/>
        <w:numPr>
          <w:ilvl w:val="0"/>
          <w:numId w:val="2"/>
        </w:numPr>
        <w:tabs>
          <w:tab w:val="clear" w:pos="4320"/>
          <w:tab w:val="clear" w:pos="8640"/>
        </w:tabs>
        <w:ind w:hanging="360" w:start="720" w:end="0"/>
        <w:rPr/>
      </w:pPr>
      <w:r>
        <w:rPr/>
        <w:t>The pooling method permits NCR shareholders to enjoy a tax-free gain, thereby providing incentives for NCR shareholders to do the deal.</w:t>
      </w:r>
    </w:p>
    <w:p>
      <w:pPr>
        <w:pStyle w:val="Normal"/>
        <w:ind w:firstLine="720" w:end="0"/>
        <w:rPr/>
      </w:pPr>
      <w:r>
        <w:rPr/>
      </w:r>
    </w:p>
    <w:p>
      <w:pPr>
        <w:pStyle w:val="BodyTextIndent2"/>
        <w:ind w:hanging="1440" w:start="1440" w:end="0"/>
        <w:rPr/>
      </w:pPr>
      <w:r>
        <w:rPr/>
        <w:t>Question #2:</w:t>
        <w:tab/>
        <w:t>Prepare a consolidated balance sheet and income statement for AT&amp;T and NCR under a pooling of interests and a purchase.  What is the impact on AT&amp;T’s accounting income, cash flows from operations, debt-to-equity ratio, return on assets, and return on equity if the NCR acquisition was accounted for as a pooling of interest and a purchase?</w:t>
      </w:r>
    </w:p>
    <w:p>
      <w:pPr>
        <w:pStyle w:val="Normal"/>
        <w:ind w:hanging="720" w:start="720" w:end="0"/>
        <w:rPr/>
      </w:pPr>
      <w:r>
        <w:rPr/>
      </w:r>
    </w:p>
    <w:p>
      <w:pPr>
        <w:pStyle w:val="BodyTextIndent3"/>
        <w:rPr/>
      </w:pPr>
      <w:r>
        <w:rPr/>
        <w:t xml:space="preserve">See attached worksheets. </w:t>
      </w:r>
    </w:p>
    <w:p>
      <w:pPr>
        <w:pStyle w:val="BodyTextIndent3"/>
        <w:rPr/>
      </w:pPr>
      <w:r>
        <w:rPr/>
      </w:r>
    </w:p>
    <w:p>
      <w:pPr>
        <w:pStyle w:val="BodyTextIndent3"/>
        <w:ind w:hanging="900" w:start="900" w:end="0"/>
        <w:rPr/>
      </w:pPr>
      <w:r>
        <w:rPr>
          <w:b/>
          <w:bCs/>
          <w:i/>
          <w:iCs/>
        </w:rPr>
        <w:t>NOTE</w:t>
      </w:r>
      <w:r>
        <w:rPr/>
        <w:t xml:space="preserve">:  </w:t>
        <w:tab/>
        <w:t>For the purposes of determining the impact of accounting for the acquisition under the purchase and pooling methods, it is assumed that AT&amp;T issues stock to finance the acquisition under the “purchase” method.</w:t>
      </w:r>
    </w:p>
    <w:p>
      <w:pPr>
        <w:pStyle w:val="Normal"/>
        <w:ind w:firstLine="720" w:end="0"/>
        <w:rPr/>
      </w:pPr>
      <w:r>
        <w:rPr/>
      </w:r>
    </w:p>
    <w:tbl>
      <w:tblPr>
        <w:tblW w:w="8856" w:type="dxa"/>
        <w:jc w:val="start"/>
        <w:tblInd w:w="0" w:type="dxa"/>
        <w:tblLayout w:type="fixed"/>
        <w:tblCellMar>
          <w:top w:w="0" w:type="dxa"/>
          <w:start w:w="108" w:type="dxa"/>
          <w:bottom w:w="0" w:type="dxa"/>
          <w:end w:w="108" w:type="dxa"/>
        </w:tblCellMar>
      </w:tblPr>
      <w:tblGrid>
        <w:gridCol w:w="2425"/>
        <w:gridCol w:w="2183"/>
        <w:gridCol w:w="2031"/>
        <w:gridCol w:w="2217"/>
      </w:tblGrid>
      <w:tr>
        <w:trPr/>
        <w:tc>
          <w:tcPr>
            <w:tcW w:w="2425"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pPr>
            <w:r>
              <w:rPr/>
            </w:r>
          </w:p>
        </w:tc>
        <w:tc>
          <w:tcPr>
            <w:tcW w:w="2183" w:type="dxa"/>
            <w:tcBorders>
              <w:top w:val="single" w:sz="4" w:space="0" w:color="000000"/>
              <w:start w:val="single" w:sz="4" w:space="0" w:color="000000"/>
              <w:bottom w:val="single" w:sz="4" w:space="0" w:color="000000"/>
              <w:end w:val="single" w:sz="4" w:space="0" w:color="000000"/>
            </w:tcBorders>
          </w:tcPr>
          <w:p>
            <w:pPr>
              <w:pStyle w:val="Normal"/>
              <w:rPr>
                <w:i/>
                <w:i/>
                <w:iCs/>
              </w:rPr>
            </w:pPr>
            <w:r>
              <w:rPr>
                <w:i/>
                <w:iCs/>
              </w:rPr>
              <w:t>AT&amp;T Pre-purchase</w:t>
            </w:r>
          </w:p>
        </w:tc>
        <w:tc>
          <w:tcPr>
            <w:tcW w:w="2031" w:type="dxa"/>
            <w:tcBorders>
              <w:top w:val="single" w:sz="4" w:space="0" w:color="000000"/>
              <w:start w:val="single" w:sz="4" w:space="0" w:color="000000"/>
              <w:bottom w:val="single" w:sz="4" w:space="0" w:color="000000"/>
              <w:end w:val="single" w:sz="4" w:space="0" w:color="000000"/>
            </w:tcBorders>
          </w:tcPr>
          <w:p>
            <w:pPr>
              <w:pStyle w:val="Normal"/>
              <w:rPr>
                <w:i/>
                <w:i/>
                <w:iCs/>
              </w:rPr>
            </w:pPr>
            <w:r>
              <w:rPr>
                <w:i/>
                <w:iCs/>
              </w:rPr>
              <w:t>Purchase Method</w:t>
            </w:r>
          </w:p>
        </w:tc>
        <w:tc>
          <w:tcPr>
            <w:tcW w:w="2217" w:type="dxa"/>
            <w:tcBorders>
              <w:top w:val="single" w:sz="4" w:space="0" w:color="000000"/>
              <w:start w:val="single" w:sz="4" w:space="0" w:color="000000"/>
              <w:bottom w:val="single" w:sz="4" w:space="0" w:color="000000"/>
              <w:end w:val="single" w:sz="4" w:space="0" w:color="000000"/>
            </w:tcBorders>
          </w:tcPr>
          <w:p>
            <w:pPr>
              <w:pStyle w:val="Normal"/>
              <w:rPr>
                <w:i/>
                <w:i/>
                <w:iCs/>
              </w:rPr>
            </w:pPr>
            <w:r>
              <w:rPr>
                <w:i/>
                <w:iCs/>
              </w:rPr>
              <w:t>Pooling Method</w:t>
            </w:r>
          </w:p>
        </w:tc>
      </w:tr>
      <w:tr>
        <w:trPr/>
        <w:tc>
          <w:tcPr>
            <w:tcW w:w="2425"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Accounting Income</w:t>
            </w:r>
          </w:p>
        </w:tc>
        <w:tc>
          <w:tcPr>
            <w:tcW w:w="2183"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2,736 Million</w:t>
            </w:r>
          </w:p>
        </w:tc>
        <w:tc>
          <w:tcPr>
            <w:tcW w:w="2031"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3,060 Million</w:t>
            </w:r>
          </w:p>
        </w:tc>
        <w:tc>
          <w:tcPr>
            <w:tcW w:w="2217" w:type="dxa"/>
            <w:tcBorders>
              <w:top w:val="single" w:sz="4" w:space="0" w:color="000000"/>
              <w:start w:val="single" w:sz="4" w:space="0" w:color="000000"/>
              <w:bottom w:val="single" w:sz="4" w:space="0" w:color="000000"/>
              <w:end w:val="single" w:sz="4" w:space="0" w:color="000000"/>
            </w:tcBorders>
          </w:tcPr>
          <w:p>
            <w:pPr>
              <w:pStyle w:val="Normal"/>
              <w:rPr/>
            </w:pPr>
            <w:r>
              <w:rPr/>
              <w:t>3,157 Million</w:t>
            </w:r>
          </w:p>
        </w:tc>
      </w:tr>
      <w:tr>
        <w:trPr/>
        <w:tc>
          <w:tcPr>
            <w:tcW w:w="2425" w:type="dxa"/>
            <w:tcBorders>
              <w:top w:val="single" w:sz="4" w:space="0" w:color="000000"/>
              <w:start w:val="single" w:sz="4" w:space="0" w:color="000000"/>
              <w:bottom w:val="single" w:sz="4" w:space="0" w:color="000000"/>
              <w:end w:val="single" w:sz="4" w:space="0" w:color="000000"/>
            </w:tcBorders>
          </w:tcPr>
          <w:p>
            <w:pPr>
              <w:pStyle w:val="Normal"/>
              <w:rPr>
                <w:i/>
                <w:i/>
                <w:iCs/>
              </w:rPr>
            </w:pPr>
            <w:r>
              <w:rPr>
                <w:i/>
                <w:iCs/>
              </w:rPr>
              <w:t>Cash flow from operations</w:t>
            </w:r>
          </w:p>
        </w:tc>
        <w:tc>
          <w:tcPr>
            <w:tcW w:w="2183" w:type="dxa"/>
            <w:tcBorders>
              <w:top w:val="single" w:sz="4" w:space="0" w:color="000000"/>
              <w:start w:val="single" w:sz="4" w:space="0" w:color="000000"/>
              <w:bottom w:val="single" w:sz="4" w:space="0" w:color="000000"/>
              <w:end w:val="single" w:sz="4" w:space="0" w:color="000000"/>
            </w:tcBorders>
          </w:tcPr>
          <w:p>
            <w:pPr>
              <w:pStyle w:val="Normal"/>
              <w:rPr/>
            </w:pPr>
            <w:r>
              <w:rPr/>
              <w:t>2,736 Million</w:t>
            </w:r>
          </w:p>
        </w:tc>
        <w:tc>
          <w:tcPr>
            <w:tcW w:w="2031" w:type="dxa"/>
            <w:tcBorders>
              <w:top w:val="single" w:sz="4" w:space="0" w:color="000000"/>
              <w:start w:val="single" w:sz="4" w:space="0" w:color="000000"/>
              <w:bottom w:val="single" w:sz="4" w:space="0" w:color="000000"/>
              <w:end w:val="single" w:sz="4" w:space="0" w:color="000000"/>
            </w:tcBorders>
          </w:tcPr>
          <w:p>
            <w:pPr>
              <w:pStyle w:val="Normal"/>
              <w:rPr/>
            </w:pPr>
            <w:r>
              <w:rPr/>
              <w:t>3,209 Million</w:t>
            </w:r>
          </w:p>
        </w:tc>
        <w:tc>
          <w:tcPr>
            <w:tcW w:w="2217" w:type="dxa"/>
            <w:tcBorders>
              <w:top w:val="single" w:sz="4" w:space="0" w:color="000000"/>
              <w:start w:val="single" w:sz="4" w:space="0" w:color="000000"/>
              <w:bottom w:val="single" w:sz="4" w:space="0" w:color="000000"/>
              <w:end w:val="single" w:sz="4" w:space="0" w:color="000000"/>
            </w:tcBorders>
          </w:tcPr>
          <w:p>
            <w:pPr>
              <w:pStyle w:val="Normal"/>
              <w:rPr/>
            </w:pPr>
            <w:r>
              <w:rPr/>
              <w:t>3,157 Million</w:t>
            </w:r>
          </w:p>
        </w:tc>
      </w:tr>
      <w:tr>
        <w:trPr/>
        <w:tc>
          <w:tcPr>
            <w:tcW w:w="2425" w:type="dxa"/>
            <w:tcBorders>
              <w:top w:val="single" w:sz="4" w:space="0" w:color="000000"/>
              <w:start w:val="single" w:sz="4" w:space="0" w:color="000000"/>
              <w:bottom w:val="single" w:sz="4" w:space="0" w:color="000000"/>
              <w:end w:val="single" w:sz="4" w:space="0" w:color="000000"/>
            </w:tcBorders>
          </w:tcPr>
          <w:p>
            <w:pPr>
              <w:pStyle w:val="Normal"/>
              <w:rPr>
                <w:i/>
                <w:i/>
                <w:iCs/>
              </w:rPr>
            </w:pPr>
            <w:r>
              <w:rPr>
                <w:i/>
                <w:iCs/>
              </w:rPr>
              <w:t>D-E Ratios</w:t>
            </w:r>
          </w:p>
        </w:tc>
        <w:tc>
          <w:tcPr>
            <w:tcW w:w="2183" w:type="dxa"/>
            <w:tcBorders>
              <w:top w:val="single" w:sz="4" w:space="0" w:color="000000"/>
              <w:start w:val="single" w:sz="4" w:space="0" w:color="000000"/>
              <w:bottom w:val="single" w:sz="4" w:space="0" w:color="000000"/>
              <w:end w:val="single" w:sz="4" w:space="0" w:color="000000"/>
            </w:tcBorders>
          </w:tcPr>
          <w:p>
            <w:pPr>
              <w:pStyle w:val="Normal"/>
              <w:snapToGrid w:val="false"/>
              <w:rPr>
                <w:i/>
                <w:i/>
                <w:iCs/>
              </w:rPr>
            </w:pPr>
            <w:r>
              <w:rPr>
                <w:i/>
                <w:iCs/>
              </w:rPr>
            </w:r>
          </w:p>
        </w:tc>
        <w:tc>
          <w:tcPr>
            <w:tcW w:w="203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21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425"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   </w:t>
            </w:r>
            <w:r>
              <w:rPr/>
              <w:t>Total liabilities/SE</w:t>
            </w:r>
          </w:p>
        </w:tc>
        <w:tc>
          <w:tcPr>
            <w:tcW w:w="2183" w:type="dxa"/>
            <w:tcBorders>
              <w:top w:val="single" w:sz="4" w:space="0" w:color="000000"/>
              <w:start w:val="single" w:sz="4" w:space="0" w:color="000000"/>
              <w:bottom w:val="single" w:sz="4" w:space="0" w:color="000000"/>
              <w:end w:val="single" w:sz="4" w:space="0" w:color="000000"/>
            </w:tcBorders>
          </w:tcPr>
          <w:p>
            <w:pPr>
              <w:pStyle w:val="Normal"/>
              <w:rPr/>
            </w:pPr>
            <w:r>
              <w:rPr/>
              <w:t>2.11</w:t>
            </w:r>
          </w:p>
        </w:tc>
        <w:tc>
          <w:tcPr>
            <w:tcW w:w="2031" w:type="dxa"/>
            <w:tcBorders>
              <w:top w:val="single" w:sz="4" w:space="0" w:color="000000"/>
              <w:start w:val="single" w:sz="4" w:space="0" w:color="000000"/>
              <w:bottom w:val="single" w:sz="4" w:space="0" w:color="000000"/>
              <w:end w:val="single" w:sz="4" w:space="0" w:color="000000"/>
            </w:tcBorders>
          </w:tcPr>
          <w:p>
            <w:pPr>
              <w:pStyle w:val="Normal"/>
              <w:rPr/>
            </w:pPr>
            <w:r>
              <w:rPr/>
              <w:t>1.50</w:t>
            </w:r>
          </w:p>
        </w:tc>
        <w:tc>
          <w:tcPr>
            <w:tcW w:w="2217" w:type="dxa"/>
            <w:tcBorders>
              <w:top w:val="single" w:sz="4" w:space="0" w:color="000000"/>
              <w:start w:val="single" w:sz="4" w:space="0" w:color="000000"/>
              <w:bottom w:val="single" w:sz="4" w:space="0" w:color="000000"/>
              <w:end w:val="single" w:sz="4" w:space="0" w:color="000000"/>
            </w:tcBorders>
          </w:tcPr>
          <w:p>
            <w:pPr>
              <w:pStyle w:val="Normal"/>
              <w:rPr/>
            </w:pPr>
            <w:r>
              <w:rPr/>
              <w:t>2.04</w:t>
            </w:r>
          </w:p>
        </w:tc>
      </w:tr>
      <w:tr>
        <w:trPr/>
        <w:tc>
          <w:tcPr>
            <w:tcW w:w="2425"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r>
              <w:rPr/>
              <w:t>Long-term debt/SE</w:t>
            </w:r>
          </w:p>
        </w:tc>
        <w:tc>
          <w:tcPr>
            <w:tcW w:w="2183" w:type="dxa"/>
            <w:tcBorders>
              <w:top w:val="single" w:sz="4" w:space="0" w:color="000000"/>
              <w:start w:val="single" w:sz="4" w:space="0" w:color="000000"/>
              <w:bottom w:val="single" w:sz="4" w:space="0" w:color="000000"/>
              <w:end w:val="single" w:sz="4" w:space="0" w:color="000000"/>
            </w:tcBorders>
          </w:tcPr>
          <w:p>
            <w:pPr>
              <w:pStyle w:val="Normal"/>
              <w:rPr/>
            </w:pPr>
            <w:r>
              <w:rPr/>
              <w:t>0.65</w:t>
            </w:r>
          </w:p>
        </w:tc>
        <w:tc>
          <w:tcPr>
            <w:tcW w:w="2031" w:type="dxa"/>
            <w:tcBorders>
              <w:top w:val="single" w:sz="4" w:space="0" w:color="000000"/>
              <w:start w:val="single" w:sz="4" w:space="0" w:color="000000"/>
              <w:bottom w:val="single" w:sz="4" w:space="0" w:color="000000"/>
              <w:end w:val="single" w:sz="4" w:space="0" w:color="000000"/>
            </w:tcBorders>
          </w:tcPr>
          <w:p>
            <w:pPr>
              <w:pStyle w:val="Normal"/>
              <w:rPr/>
            </w:pPr>
            <w:r>
              <w:rPr/>
              <w:t>0.43</w:t>
            </w:r>
          </w:p>
        </w:tc>
        <w:tc>
          <w:tcPr>
            <w:tcW w:w="2217" w:type="dxa"/>
            <w:tcBorders>
              <w:top w:val="single" w:sz="4" w:space="0" w:color="000000"/>
              <w:start w:val="single" w:sz="4" w:space="0" w:color="000000"/>
              <w:bottom w:val="single" w:sz="4" w:space="0" w:color="000000"/>
              <w:end w:val="single" w:sz="4" w:space="0" w:color="000000"/>
            </w:tcBorders>
          </w:tcPr>
          <w:p>
            <w:pPr>
              <w:pStyle w:val="Normal"/>
              <w:rPr/>
            </w:pPr>
            <w:r>
              <w:rPr/>
              <w:t>0.59</w:t>
            </w:r>
          </w:p>
        </w:tc>
      </w:tr>
      <w:tr>
        <w:trPr/>
        <w:tc>
          <w:tcPr>
            <w:tcW w:w="2425" w:type="dxa"/>
            <w:tcBorders>
              <w:top w:val="single" w:sz="4" w:space="0" w:color="000000"/>
              <w:start w:val="single" w:sz="4" w:space="0" w:color="000000"/>
              <w:bottom w:val="single" w:sz="4" w:space="0" w:color="000000"/>
              <w:end w:val="single" w:sz="4" w:space="0" w:color="000000"/>
            </w:tcBorders>
          </w:tcPr>
          <w:p>
            <w:pPr>
              <w:pStyle w:val="Normal"/>
              <w:rPr>
                <w:i/>
                <w:i/>
                <w:iCs/>
              </w:rPr>
            </w:pPr>
            <w:r>
              <w:rPr>
                <w:i/>
                <w:iCs/>
              </w:rPr>
              <w:t>Return on assets</w:t>
            </w:r>
          </w:p>
        </w:tc>
        <w:tc>
          <w:tcPr>
            <w:tcW w:w="2183" w:type="dxa"/>
            <w:tcBorders>
              <w:top w:val="single" w:sz="4" w:space="0" w:color="000000"/>
              <w:start w:val="single" w:sz="4" w:space="0" w:color="000000"/>
              <w:bottom w:val="single" w:sz="4" w:space="0" w:color="000000"/>
              <w:end w:val="single" w:sz="4" w:space="0" w:color="000000"/>
            </w:tcBorders>
          </w:tcPr>
          <w:p>
            <w:pPr>
              <w:pStyle w:val="Normal"/>
              <w:rPr/>
            </w:pPr>
            <w:r>
              <w:rPr/>
              <w:t>0.0625</w:t>
            </w:r>
          </w:p>
        </w:tc>
        <w:tc>
          <w:tcPr>
            <w:tcW w:w="2031" w:type="dxa"/>
            <w:tcBorders>
              <w:top w:val="single" w:sz="4" w:space="0" w:color="000000"/>
              <w:start w:val="single" w:sz="4" w:space="0" w:color="000000"/>
              <w:bottom w:val="single" w:sz="4" w:space="0" w:color="000000"/>
              <w:end w:val="single" w:sz="4" w:space="0" w:color="000000"/>
            </w:tcBorders>
          </w:tcPr>
          <w:p>
            <w:pPr>
              <w:pStyle w:val="Normal"/>
              <w:rPr/>
            </w:pPr>
            <w:r>
              <w:rPr/>
              <w:t>0.0541</w:t>
            </w:r>
          </w:p>
        </w:tc>
        <w:tc>
          <w:tcPr>
            <w:tcW w:w="2217" w:type="dxa"/>
            <w:tcBorders>
              <w:top w:val="single" w:sz="4" w:space="0" w:color="000000"/>
              <w:start w:val="single" w:sz="4" w:space="0" w:color="000000"/>
              <w:bottom w:val="single" w:sz="4" w:space="0" w:color="000000"/>
              <w:end w:val="single" w:sz="4" w:space="0" w:color="000000"/>
            </w:tcBorders>
          </w:tcPr>
          <w:p>
            <w:pPr>
              <w:pStyle w:val="Normal"/>
              <w:rPr/>
            </w:pPr>
            <w:r>
              <w:rPr/>
              <w:t>0.0653</w:t>
            </w:r>
          </w:p>
        </w:tc>
      </w:tr>
      <w:tr>
        <w:trPr/>
        <w:tc>
          <w:tcPr>
            <w:tcW w:w="2425" w:type="dxa"/>
            <w:tcBorders>
              <w:top w:val="single" w:sz="4" w:space="0" w:color="000000"/>
              <w:start w:val="single" w:sz="4" w:space="0" w:color="000000"/>
              <w:bottom w:val="single" w:sz="4" w:space="0" w:color="000000"/>
              <w:end w:val="single" w:sz="4" w:space="0" w:color="000000"/>
            </w:tcBorders>
          </w:tcPr>
          <w:p>
            <w:pPr>
              <w:pStyle w:val="Normal"/>
              <w:rPr>
                <w:i/>
                <w:i/>
                <w:iCs/>
              </w:rPr>
            </w:pPr>
            <w:r>
              <w:rPr>
                <w:i/>
                <w:iCs/>
              </w:rPr>
              <w:t>Return on equity</w:t>
            </w:r>
          </w:p>
        </w:tc>
        <w:tc>
          <w:tcPr>
            <w:tcW w:w="2183" w:type="dxa"/>
            <w:tcBorders>
              <w:top w:val="single" w:sz="4" w:space="0" w:color="000000"/>
              <w:start w:val="single" w:sz="4" w:space="0" w:color="000000"/>
              <w:bottom w:val="single" w:sz="4" w:space="0" w:color="000000"/>
              <w:end w:val="single" w:sz="4" w:space="0" w:color="000000"/>
            </w:tcBorders>
          </w:tcPr>
          <w:p>
            <w:pPr>
              <w:pStyle w:val="Normal"/>
              <w:rPr/>
            </w:pPr>
            <w:r>
              <w:rPr/>
              <w:t>0.1942</w:t>
            </w:r>
          </w:p>
        </w:tc>
        <w:tc>
          <w:tcPr>
            <w:tcW w:w="2031" w:type="dxa"/>
            <w:tcBorders>
              <w:top w:val="single" w:sz="4" w:space="0" w:color="000000"/>
              <w:start w:val="single" w:sz="4" w:space="0" w:color="000000"/>
              <w:bottom w:val="single" w:sz="4" w:space="0" w:color="000000"/>
              <w:end w:val="single" w:sz="4" w:space="0" w:color="000000"/>
            </w:tcBorders>
          </w:tcPr>
          <w:p>
            <w:pPr>
              <w:pStyle w:val="Normal"/>
              <w:rPr/>
            </w:pPr>
            <w:r>
              <w:rPr/>
              <w:t>0.1419</w:t>
            </w:r>
          </w:p>
        </w:tc>
        <w:tc>
          <w:tcPr>
            <w:tcW w:w="2217" w:type="dxa"/>
            <w:tcBorders>
              <w:top w:val="single" w:sz="4" w:space="0" w:color="000000"/>
              <w:start w:val="single" w:sz="4" w:space="0" w:color="000000"/>
              <w:bottom w:val="single" w:sz="4" w:space="0" w:color="000000"/>
              <w:end w:val="single" w:sz="4" w:space="0" w:color="000000"/>
            </w:tcBorders>
          </w:tcPr>
          <w:p>
            <w:pPr>
              <w:pStyle w:val="Normal"/>
              <w:rPr/>
            </w:pPr>
            <w:r>
              <w:rPr/>
              <w:t>0.1987</w:t>
            </w:r>
          </w:p>
        </w:tc>
      </w:tr>
    </w:tbl>
    <w:p>
      <w:pPr>
        <w:pStyle w:val="Normal"/>
        <w:rPr/>
      </w:pPr>
      <w:r>
        <w:rPr/>
      </w:r>
    </w:p>
    <w:p>
      <w:pPr>
        <w:pStyle w:val="Normal"/>
        <w:numPr>
          <w:ilvl w:val="0"/>
          <w:numId w:val="4"/>
        </w:numPr>
        <w:tabs>
          <w:tab w:val="clear" w:pos="720"/>
        </w:tabs>
        <w:ind w:hanging="288" w:start="360" w:end="0"/>
        <w:rPr/>
      </w:pPr>
      <w:r>
        <w:rPr/>
        <w:t xml:space="preserve">Income increases under both methods but is greater under the pooling method than under the purchase method.  </w:t>
      </w:r>
    </w:p>
    <w:p>
      <w:pPr>
        <w:pStyle w:val="Normal"/>
        <w:numPr>
          <w:ilvl w:val="0"/>
          <w:numId w:val="4"/>
        </w:numPr>
        <w:tabs>
          <w:tab w:val="clear" w:pos="720"/>
        </w:tabs>
        <w:ind w:hanging="288" w:start="360" w:end="0"/>
        <w:rPr/>
      </w:pPr>
      <w:r>
        <w:rPr/>
        <w:t xml:space="preserve">Cash flow increases under both methods but is greater under the purchase method than under the pooling method (all else equal).  </w:t>
      </w:r>
    </w:p>
    <w:p>
      <w:pPr>
        <w:pStyle w:val="Normal"/>
        <w:numPr>
          <w:ilvl w:val="0"/>
          <w:numId w:val="4"/>
        </w:numPr>
        <w:tabs>
          <w:tab w:val="clear" w:pos="720"/>
        </w:tabs>
        <w:ind w:hanging="288" w:start="360" w:end="0"/>
        <w:rPr/>
      </w:pPr>
      <w:r>
        <w:rPr/>
        <w:t>Debt-equity ratios decrease under both methods, but the ratio is greater under the pooling method than under the purchase method.</w:t>
      </w:r>
    </w:p>
    <w:p>
      <w:pPr>
        <w:pStyle w:val="Normal"/>
        <w:numPr>
          <w:ilvl w:val="0"/>
          <w:numId w:val="4"/>
        </w:numPr>
        <w:tabs>
          <w:tab w:val="clear" w:pos="720"/>
        </w:tabs>
        <w:ind w:hanging="288" w:start="360" w:end="0"/>
        <w:rPr/>
      </w:pPr>
      <w:r>
        <w:rPr/>
        <w:t xml:space="preserve">Return on assets increases under the pooling method and decreases under the purchase method. </w:t>
      </w:r>
    </w:p>
    <w:p>
      <w:pPr>
        <w:pStyle w:val="Normal"/>
        <w:numPr>
          <w:ilvl w:val="0"/>
          <w:numId w:val="4"/>
        </w:numPr>
        <w:tabs>
          <w:tab w:val="clear" w:pos="720"/>
        </w:tabs>
        <w:ind w:hanging="288" w:start="360" w:end="0"/>
        <w:rPr/>
      </w:pPr>
      <w:r>
        <w:rPr/>
        <w:t>Return on equity increases under the pooling method and decreases under the purchase method.</w:t>
      </w:r>
    </w:p>
    <w:p>
      <w:pPr>
        <w:pStyle w:val="Normal"/>
        <w:rPr/>
      </w:pPr>
      <w:r>
        <w:rPr/>
      </w:r>
    </w:p>
    <w:p>
      <w:pPr>
        <w:pStyle w:val="Normal"/>
        <w:rPr/>
      </w:pPr>
      <w:r>
        <w:rPr/>
      </w:r>
    </w:p>
    <w:p>
      <w:pPr>
        <w:pStyle w:val="BodyTextIndent2"/>
        <w:ind w:hanging="1440" w:start="1440" w:end="0"/>
        <w:rPr/>
      </w:pPr>
      <w:r>
        <w:rPr/>
        <w:t>Question #3:</w:t>
        <w:tab/>
        <w:t>The article in Exhibit 7 indicates that AT&amp;T and NCR would jointly take several steps to secure SEC permission to account for the merger as a pooling of interests.  Discuss if and how a pooling of interests would affect the postacquisition market value of AT&amp;T.</w:t>
      </w:r>
    </w:p>
    <w:p>
      <w:pPr>
        <w:pStyle w:val="BodyTextIndent2"/>
        <w:rPr>
          <w:i w:val="false"/>
          <w:i w:val="false"/>
          <w:iCs w:val="false"/>
        </w:rPr>
      </w:pPr>
      <w:r>
        <w:rPr>
          <w:i w:val="false"/>
          <w:iCs w:val="false"/>
        </w:rPr>
      </w:r>
    </w:p>
    <w:p>
      <w:pPr>
        <w:pStyle w:val="BodyTextIndent2"/>
        <w:ind w:firstLine="720" w:start="0" w:end="0"/>
        <w:rPr>
          <w:i w:val="false"/>
          <w:i w:val="false"/>
          <w:iCs w:val="false"/>
        </w:rPr>
      </w:pPr>
      <w:r>
        <w:rPr>
          <w:i w:val="false"/>
          <w:iCs w:val="false"/>
        </w:rPr>
        <w:t xml:space="preserve">In general, firm value is determined by the firm’s discounted future cash flows.  As the table above and the attached worksheets show, cash flow is greater under the purchase method than under the pooling method.  This suggests that, postacquisition, AT&amp;T’s market value ought to be greater under the purchase method.  In addition, the case notes that AT&amp;T is willing to spend considerable sums of money to secure a decision from the SEC that permits pooling.  </w:t>
      </w:r>
    </w:p>
    <w:p>
      <w:pPr>
        <w:pStyle w:val="BodyTextIndent2"/>
        <w:ind w:firstLine="720" w:start="0" w:end="0"/>
        <w:rPr>
          <w:i w:val="false"/>
          <w:i w:val="false"/>
          <w:iCs w:val="false"/>
        </w:rPr>
      </w:pPr>
      <w:r>
        <w:rPr>
          <w:i w:val="false"/>
          <w:iCs w:val="false"/>
        </w:rPr>
      </w:r>
    </w:p>
    <w:p>
      <w:pPr>
        <w:pStyle w:val="BodyTextIndent2"/>
        <w:ind w:firstLine="720" w:start="0" w:end="0"/>
        <w:rPr>
          <w:i w:val="false"/>
          <w:i w:val="false"/>
          <w:iCs w:val="false"/>
        </w:rPr>
      </w:pPr>
      <w:r>
        <w:rPr>
          <w:i w:val="false"/>
          <w:iCs w:val="false"/>
        </w:rPr>
        <w:t xml:space="preserve">For example, the article included in the case states that AT&amp;T will incure $10 million of fees associated with NCR’s stock sale “…which is designed to offset NCR’s purchases of its shares in the open market for the past two years.”  The article points to other costs AT&amp;T will incur in order to win approval for the pooling method, including an additional $50 million added to the purchase price and substantial fees paid to four of the Big Six accounting firms to help gain “pooling” approval from the SEC. </w:t>
      </w:r>
    </w:p>
    <w:p>
      <w:pPr>
        <w:pStyle w:val="Normal"/>
        <w:rPr>
          <w:i/>
          <w:i/>
          <w:iCs/>
        </w:rPr>
      </w:pPr>
      <w:r>
        <w:rPr>
          <w:i/>
          <w:iCs/>
        </w:rPr>
      </w:r>
    </w:p>
    <w:p>
      <w:pPr>
        <w:pStyle w:val="Normal"/>
        <w:rPr/>
      </w:pPr>
      <w:r>
        <w:rPr/>
        <w:tab/>
        <w:t>Assuming that these additional costs are not included in AT&amp;T’s 1990 financial statements, they would increase the difference in cash flows resulting from the purchase and pooling methods.  This suggests that the market value of AT&amp;T would be greater under the purchase method.</w:t>
      </w:r>
    </w:p>
    <w:p>
      <w:pPr>
        <w:pStyle w:val="Normal"/>
        <w:rPr/>
      </w:pPr>
      <w:r>
        <w:rPr/>
      </w:r>
    </w:p>
    <w:p>
      <w:pPr>
        <w:pStyle w:val="BodyTextIndent2"/>
        <w:ind w:hanging="1440" w:start="1440" w:end="0"/>
        <w:rPr/>
      </w:pPr>
      <w:r>
        <w:rPr/>
        <w:t>Question #4:</w:t>
        <w:tab/>
        <w:t>Is there a potential conflict of interest between management and shareholders in this case?  If so, are there ways to structure management’s compensation that would reduce or eliminate this conflict?</w:t>
      </w:r>
    </w:p>
    <w:p>
      <w:pPr>
        <w:pStyle w:val="Normal"/>
        <w:rPr/>
      </w:pPr>
      <w:r>
        <w:rPr/>
      </w:r>
    </w:p>
    <w:p>
      <w:pPr>
        <w:pStyle w:val="BodyTextIndent3"/>
        <w:rPr/>
      </w:pPr>
      <w:r>
        <w:rPr/>
        <w:t>Yes, the potential for conflict seems clear.  Managers are primarily concerned with meeting or exceeding the goals established in executive incentive packages.  Those incentives are generally tied to financial ratios like those included in the attached worksheets and summarized in the table above.  Exibits 5 and 6 show that AT&amp;T managers’ cash and stock compensation depends significantly on pre-determined measures of financial performance.  As such, managers are likely to spend the firm’s resources in order to ensure that goals are met and incentives secured, including resources required to receive a favorably ruling from the SEC with respect to pooling.  These are resources that shareholders would otherwise receive.</w:t>
      </w:r>
    </w:p>
    <w:p>
      <w:pPr>
        <w:pStyle w:val="BodyTextIndent3"/>
        <w:rPr/>
      </w:pPr>
      <w:r>
        <w:rPr/>
      </w:r>
    </w:p>
    <w:p>
      <w:pPr>
        <w:pStyle w:val="BodyTextIndent3"/>
        <w:rPr/>
      </w:pPr>
      <w:r>
        <w:rPr/>
        <w:t>Shareholders on the other hand are concerned with increased and, presumably, sustained, market value.  As discussed in response to question #3, market value is determined by the firm’s discounted future cash flows.  As such, all things equal, shareholders ought to prefer the purchase method, since cash flows under the pooling method are greater than cash flows resulting from the purchase method. Thus, the conflict seems to arise from the fact that management has an incentive to pursue the pooling method, while AT&amp;T shareholders ought to prefer the purchase method.</w:t>
      </w:r>
    </w:p>
    <w:p>
      <w:pPr>
        <w:pStyle w:val="BodyTextIndent3"/>
        <w:rPr/>
      </w:pPr>
      <w:r>
        <w:rPr/>
      </w:r>
    </w:p>
    <w:p>
      <w:pPr>
        <w:pStyle w:val="BodyTextIndent3"/>
        <w:rPr/>
      </w:pPr>
      <w:r>
        <w:rPr/>
        <w:t>In order to reduce or eliminate the conflict, the Board could develop an incentive package that more closely aligns the interests of management and shareholders.  That is, the Board could develop an incentive package that makes management incentives more dependent upon shareholder wealth.</w:t>
      </w:r>
    </w:p>
    <w:p>
      <w:pPr>
        <w:pStyle w:val="BodyTextIndent3"/>
        <w:rPr/>
      </w:pPr>
      <w:r>
        <w:rPr/>
      </w:r>
    </w:p>
    <w:p>
      <w:pPr>
        <w:pStyle w:val="BodyTextIndent3"/>
        <w:ind w:hanging="1440" w:start="1440" w:end="0"/>
        <w:rPr>
          <w:i/>
          <w:i/>
          <w:iCs/>
        </w:rPr>
      </w:pPr>
      <w:r>
        <w:rPr>
          <w:i/>
          <w:iCs/>
        </w:rPr>
        <w:t>Question #5:</w:t>
        <w:tab/>
        <w:t>Is there an increased premium paid for target firms that agree to a “pooling of interests?”  How does accounting treatment affect the target firm shareholders’ wealth and the acquiring firm shareholders’ wealth.</w:t>
      </w:r>
    </w:p>
    <w:p>
      <w:pPr>
        <w:pStyle w:val="BodyTextIndent3"/>
        <w:rPr>
          <w:i/>
          <w:i/>
          <w:iCs/>
        </w:rPr>
      </w:pPr>
      <w:r>
        <w:rPr>
          <w:i/>
          <w:iCs/>
        </w:rPr>
      </w:r>
    </w:p>
    <w:p>
      <w:pPr>
        <w:pStyle w:val="BodyTextIndent3"/>
        <w:rPr/>
      </w:pPr>
      <w:r>
        <w:rPr/>
        <w:t>Yes, there would appear to be a premium paid.  The premium arises from the benefits that the acquiring company’s management gains from using the pooling method.  Because management stands to gain from the pooling method, management is willing to spend firm resources in order to win those pooling-related benefits.  In addition, one can assume that the target firm is aware of the benefits that management will receive, and will try to capture some portion of those benefits by charging a premium.  The premium that arises from these incentives leads to a transfer of wealth from the acquiring firm’s shareholders to the target firm’s shareholders.  It also leads to a transfer of wealth from the acquiring firm’s shareholders to the acquiring firm’s management—a transfer that might not have taken place under the purchase method.</w:t>
      </w:r>
    </w:p>
    <w:sectPr>
      <w:headerReference w:type="default" r:id="rId2"/>
      <w:footnotePr>
        <w:numFmt w:val="decimal"/>
      </w:footnotePr>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Course textbook, Chapter 18, p. 602.</w:t>
      </w:r>
    </w:p>
  </w:footnote>
  <w:footnote w:id="3">
    <w:p>
      <w:pPr>
        <w:pStyle w:val="FootnoteText"/>
        <w:rPr/>
      </w:pPr>
      <w:r>
        <w:rPr>
          <w:rStyle w:val="FootnoteCharacters"/>
        </w:rPr>
        <w:footnoteRef/>
      </w:r>
      <w:r>
        <w:rPr/>
        <w:t xml:space="preserve"> </w:t>
      </w:r>
      <w:r>
        <w:rPr>
          <w:i/>
          <w:iCs/>
        </w:rPr>
        <w:t>Ibid</w:t>
      </w:r>
      <w:r>
        <w:rPr/>
        <w:t>, p. 601.</w:t>
      </w:r>
    </w:p>
  </w:footnote>
  <w:footnote w:id="4">
    <w:p>
      <w:pPr>
        <w:pStyle w:val="FootnoteText"/>
        <w:rPr/>
      </w:pPr>
      <w:r>
        <w:rPr>
          <w:rStyle w:val="FootnoteCharacters"/>
        </w:rPr>
        <w:footnoteRef/>
      </w:r>
      <w:r>
        <w:rPr/>
        <w:t xml:space="preserve"> </w:t>
      </w:r>
      <w:r>
        <w:rPr/>
        <w:t>Case, p. 443-444.</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2"/>
      </w:rPr>
    </w:pPr>
    <w:r>
      <w:rPr>
        <w:sz w:val="22"/>
      </w:rPr>
      <w:t>Jeffrey Dasovich</w:t>
    </w:r>
  </w:p>
  <w:p>
    <w:pPr>
      <w:pStyle w:val="Header"/>
      <w:jc w:val="end"/>
      <w:rPr>
        <w:sz w:val="22"/>
      </w:rPr>
    </w:pPr>
    <w:r>
      <w:rPr>
        <w:sz w:val="22"/>
      </w:rPr>
      <w:t>Professor Aceves</w:t>
    </w:r>
  </w:p>
  <w:p>
    <w:pPr>
      <w:pStyle w:val="Header"/>
      <w:jc w:val="end"/>
      <w:rPr>
        <w:sz w:val="22"/>
      </w:rPr>
    </w:pPr>
    <w:r>
      <w:rPr>
        <w:sz w:val="22"/>
      </w:rPr>
      <w:t>E220 Final Exam</w:t>
    </w:r>
  </w:p>
  <w:p>
    <w:pPr>
      <w:pStyle w:val="Header"/>
      <w:jc w:val="end"/>
      <w:rPr>
        <w:sz w:val="22"/>
      </w:rPr>
    </w:pPr>
    <w:r>
      <w:rPr>
        <w:sz w:val="22"/>
      </w:rPr>
      <w:t>December 13, 2000</w:t>
    </w:r>
  </w:p>
  <w:p>
    <w:pPr>
      <w:pStyle w:val="Header"/>
      <w:jc w:val="end"/>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4</w:t>
    </w:r>
    <w:r>
      <w:rPr>
        <w:rStyle w:val="PageNumber"/>
        <w:sz w:val="22"/>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6480"/>
        </w:tabs>
        <w:ind w:start="6408" w:hanging="288"/>
      </w:pPr>
      <w:rPr>
        <w:rFonts w:ascii="Wingdings" w:hAnsi="Wingdings" w:cs="Wingdings" w:hint="default"/>
      </w:rPr>
    </w:lvl>
  </w:abstractNum>
  <w:abstractNum w:abstractNumId="4">
    <w:lvl w:ilvl="0">
      <w:start w:val="1"/>
      <w:numFmt w:val="bullet"/>
      <w:lvlText w:val=""/>
      <w:lvlJc w:val="start"/>
      <w:pPr>
        <w:tabs>
          <w:tab w:val="num" w:pos="6480"/>
        </w:tabs>
        <w:ind w:start="6408" w:hanging="288"/>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i/>
      <w:iCs/>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style>
  <w:style w:type="character" w:styleId="WW8Num6z1">
    <w:name w:val="WW8Num6z1"/>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1440" w:start="1440" w:end="0"/>
    </w:pPr>
    <w:rPr>
      <w:i/>
      <w:iCs/>
    </w:rPr>
  </w:style>
  <w:style w:type="paragraph" w:styleId="FootnoteText">
    <w:name w:val="footnote text"/>
    <w:basedOn w:val="Normal"/>
    <w:pPr/>
    <w:rPr>
      <w:sz w:val="20"/>
      <w:szCs w:val="20"/>
    </w:rPr>
  </w:style>
  <w:style w:type="paragraph" w:styleId="BodyTextIndent2">
    <w:name w:val="Body Text Indent 2"/>
    <w:basedOn w:val="Normal"/>
    <w:qFormat/>
    <w:pPr>
      <w:ind w:hanging="720" w:start="720" w:end="0"/>
    </w:pPr>
    <w:rPr>
      <w:i/>
      <w:iCs/>
    </w:rPr>
  </w:style>
  <w:style w:type="paragraph" w:styleId="BodyTextIndent3">
    <w:name w:val="Body Text Indent 3"/>
    <w:basedOn w:val="Normal"/>
    <w:qFormat/>
    <w:pPr>
      <w:ind w:firstLine="72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2000-12-14T02:07:00Z</dcterms:created>
  <dc:creator>jdasovic</dc:creator>
  <dc:description/>
  <dc:language>en-CA</dc:language>
  <cp:lastModifiedBy>jdasovic</cp:lastModifiedBy>
  <dcterms:modified xsi:type="dcterms:W3CDTF">2000-12-14T02:38:00Z</dcterms:modified>
  <cp:revision>12</cp:revision>
  <dc:subject/>
  <dc:title>FINAL EXAM</dc:title>
</cp:coreProperties>
</file>