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25.bin" ContentType="application/vnd.openxmlformats-officedocument.oleObject"/>
  <Override PartName="/word/embeddings/oleObject24.bin" ContentType="application/vnd.openxmlformats-officedocument.oleObject"/>
  <Override PartName="/word/embeddings/oleObject23.bin" ContentType="application/vnd.openxmlformats-officedocument.oleObject"/>
  <Override PartName="/word/embeddings/oleObject22.bin" ContentType="application/vnd.openxmlformats-officedocument.oleObject"/>
  <Override PartName="/word/embeddings/oleObject21.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18.bin" ContentType="application/vnd.openxmlformats-officedocument.oleObject"/>
  <Override PartName="/word/embeddings/oleObject17.bin" ContentType="application/vnd.openxmlformats-officedocument.oleObject"/>
  <Override PartName="/word/embeddings/oleObject16.bin" ContentType="application/vnd.openxmlformats-officedocument.oleObject"/>
  <Override PartName="/word/embeddings/oleObject15.bin" ContentType="application/vnd.openxmlformats-officedocument.oleObject"/>
  <Override PartName="/word/embeddings/oleObject14.bin" ContentType="application/vnd.openxmlformats-officedocument.oleObject"/>
  <Override PartName="/word/embeddings/oleObject26.bin" ContentType="application/vnd.openxmlformats-officedocument.oleObject"/>
  <Override PartName="/word/embeddings/oleObject1.bin" ContentType="application/vnd.openxmlformats-officedocument.oleObject"/>
  <Override PartName="/word/embeddings/oleObject27.bin" ContentType="application/vnd.openxmlformats-officedocument.oleObject"/>
  <Override PartName="/word/embeddings/oleObject2.bin" ContentType="application/vnd.openxmlformats-officedocument.oleObject"/>
  <Override PartName="/word/embeddings/oleObject28.bin" ContentType="application/vnd.openxmlformats-officedocument.oleObject"/>
  <Override PartName="/word/embeddings/oleObject30.bin" ContentType="application/vnd.openxmlformats-officedocument.oleObject"/>
  <Override PartName="/word/embeddings/oleObject3.bin" ContentType="application/vnd.openxmlformats-officedocument.oleObject"/>
  <Override PartName="/word/embeddings/oleObject31.bin" ContentType="application/vnd.openxmlformats-officedocument.oleObject"/>
  <Override PartName="/word/embeddings/oleObject4.bin" ContentType="application/vnd.openxmlformats-officedocument.oleObject"/>
  <Override PartName="/word/embeddings/oleObject29.bin" ContentType="application/vnd.openxmlformats-officedocument.oleObject"/>
  <Override PartName="/word/embeddings/oleObject32.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13.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5.bin" ContentType="application/vnd.openxmlformats-officedocument.oleObject"/>
  <Override PartName="/word/embeddings/oleObject40.bin" ContentType="application/vnd.openxmlformats-officedocument.oleObject"/>
  <Override PartName="/word/embeddings/oleObject39.bin" ContentType="application/vnd.openxmlformats-officedocument.oleObject"/>
  <Override PartName="/word/embeddings/oleObject33.bin" ContentType="application/vnd.openxmlformats-officedocument.oleObject"/>
  <Override PartName="/word/embeddings/oleObject41.bin" ContentType="application/vnd.openxmlformats-officedocument.oleObject"/>
  <Override PartName="/word/embeddings/oleObject6.bin" ContentType="application/vnd.openxmlformats-officedocument.oleObject"/>
  <Override PartName="/word/embeddings/oleObject45.bin" ContentType="application/vnd.openxmlformats-officedocument.oleObject"/>
  <Override PartName="/word/embeddings/oleObject10.bin" ContentType="application/vnd.openxmlformats-officedocument.oleObject"/>
  <Override PartName="/word/embeddings/oleObject34.bin" ContentType="application/vnd.openxmlformats-officedocument.oleObject"/>
  <Override PartName="/word/embeddings/oleObject46.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9.bin" ContentType="application/vnd.openxmlformats-officedocument.oleObject"/>
  <Override PartName="/word/embeddings/oleObject44.bin" ContentType="application/vnd.openxmlformats-officedocument.oleObject"/>
  <Override PartName="/word/embeddings/oleObject8.bin" ContentType="application/vnd.openxmlformats-officedocument.oleObject"/>
  <Override PartName="/word/embeddings/oleObject43.bin" ContentType="application/vnd.openxmlformats-officedocument.oleObject"/>
  <Override PartName="/word/embeddings/oleObject7.bin" ContentType="application/vnd.openxmlformats-officedocument.oleObject"/>
  <Override PartName="/word/embeddings/oleObject42.bin" ContentType="application/vnd.openxmlformats-officedocument.oleObject"/>
  <Override PartName="/word/media/image29.wmf" ContentType="image/x-wmf"/>
  <Override PartName="/word/media/image28.wmf" ContentType="image/x-wmf"/>
  <Override PartName="/word/media/image27.wmf" ContentType="image/x-wmf"/>
  <Override PartName="/word/media/image26.wmf" ContentType="image/x-wmf"/>
  <Override PartName="/word/media/image25.wmf" ContentType="image/x-wmf"/>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18.wmf" ContentType="image/x-wmf"/>
  <Override PartName="/word/media/image9.wmf" ContentType="image/x-wmf"/>
  <Override PartName="/word/media/image20.wmf" ContentType="image/x-wmf"/>
  <Override PartName="/word/media/image8.wmf" ContentType="image/x-wmf"/>
  <Override PartName="/word/media/image17.wmf" ContentType="image/x-wmf"/>
  <Override PartName="/word/media/image12.wmf" ContentType="image/x-wmf"/>
  <Override PartName="/word/media/image35.wmf" ContentType="image/x-wmf"/>
  <Override PartName="/word/media/image3.wmf" ContentType="image/x-wmf"/>
  <Override PartName="/word/media/image13.wmf" ContentType="image/x-wmf"/>
  <Override PartName="/word/media/image36.wmf" ContentType="image/x-wmf"/>
  <Override PartName="/word/media/image4.wmf" ContentType="image/x-wmf"/>
  <Override PartName="/word/media/image30.wmf" ContentType="image/x-wmf"/>
  <Override PartName="/word/media/image31.wmf" ContentType="image/x-wmf"/>
  <Override PartName="/word/media/image32.wmf" ContentType="image/x-wmf"/>
  <Override PartName="/word/media/image11.wmf" ContentType="image/x-wmf"/>
  <Override PartName="/word/media/image2.wmf" ContentType="image/x-wmf"/>
  <Override PartName="/word/media/image34.wmf" ContentType="image/x-wmf"/>
  <Override PartName="/word/media/image39.wmf" ContentType="image/x-wmf"/>
  <Override PartName="/word/media/image7.wmf" ContentType="image/x-wmf"/>
  <Override PartName="/word/media/image16.wmf" ContentType="image/x-wmf"/>
  <Override PartName="/word/media/image10.wmf" ContentType="image/x-wmf"/>
  <Override PartName="/word/media/image1.wmf" ContentType="image/x-wmf"/>
  <Override PartName="/word/media/image33.wmf" ContentType="image/x-wmf"/>
  <Override PartName="/word/media/image38.wmf" ContentType="image/x-wmf"/>
  <Override PartName="/word/media/image6.wmf" ContentType="image/x-wmf"/>
  <Override PartName="/word/media/image15.wmf" ContentType="image/x-wmf"/>
  <Override PartName="/word/media/image37.wmf" ContentType="image/x-wmf"/>
  <Override PartName="/word/media/image5.wmf" ContentType="image/x-wmf"/>
  <Override PartName="/word/media/image14.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center"/>
        <w:rPr>
          <w:sz w:val="24"/>
        </w:rPr>
      </w:pPr>
      <w:r>
        <w:rPr>
          <w:sz w:val="24"/>
        </w:rPr>
        <w:t>7</w:t>
      </w:r>
    </w:p>
    <w:p>
      <w:pPr>
        <w:pStyle w:val="Heading7"/>
        <w:ind w:hanging="0" w:start="0"/>
        <w:rPr/>
      </w:pPr>
      <w:r>
        <w:rPr/>
        <w:t>EXOTIC OPTIONS</w:t>
      </w:r>
    </w:p>
    <w:p>
      <w:pPr>
        <w:pStyle w:val="Normal"/>
        <w:jc w:val="center"/>
        <w:rPr/>
      </w:pPr>
      <w:r>
        <w:rPr>
          <w:sz w:val="24"/>
        </w:rPr>
        <w:t>Vincent Kaminski, Stinson Gibner and Krishnarao Pinnamaneni</w:t>
      </w:r>
      <w:r>
        <w:rPr>
          <w:sz w:val="24"/>
          <w:vertAlign w:val="superscript"/>
        </w:rPr>
        <w:t>1</w:t>
      </w:r>
    </w:p>
    <w:p>
      <w:pPr>
        <w:pStyle w:val="Normal"/>
        <w:jc w:val="center"/>
        <w:rPr>
          <w:sz w:val="24"/>
        </w:rPr>
      </w:pPr>
      <w:r>
        <w:rPr>
          <w:sz w:val="24"/>
        </w:rPr>
        <w:t>Enron Corp.</w:t>
      </w:r>
    </w:p>
    <w:p>
      <w:pPr>
        <w:pStyle w:val="Normal"/>
        <w:jc w:val="center"/>
        <w:rPr>
          <w:sz w:val="24"/>
        </w:rPr>
      </w:pPr>
      <w:r>
        <w:rPr>
          <w:sz w:val="24"/>
        </w:rPr>
      </w:r>
    </w:p>
    <w:p>
      <w:pPr>
        <w:pStyle w:val="Normal"/>
        <w:jc w:val="both"/>
        <w:rPr>
          <w:sz w:val="24"/>
        </w:rPr>
      </w:pPr>
      <w:r>
        <w:rPr>
          <w:sz w:val="24"/>
        </w:rPr>
      </w:r>
    </w:p>
    <w:p>
      <w:pPr>
        <w:pStyle w:val="Normal"/>
        <w:jc w:val="both"/>
        <w:rPr>
          <w:sz w:val="24"/>
        </w:rPr>
      </w:pPr>
      <w:r>
        <w:rPr>
          <w:sz w:val="24"/>
        </w:rPr>
        <w:t>Exotic options continue to increase in use as a means of controlling exposure to energy prices.  One factor contributing to this increased popularity stems from the persistent high price volatility of many energy commodities which results in corresponding uncertainties in future costs or revenues.  Inherent exposures to various price averages and price differentials has also speeded the industry’s embrace of some exotics such as Asian options and spread options.</w:t>
      </w:r>
    </w:p>
    <w:p>
      <w:pPr>
        <w:pStyle w:val="Normal"/>
        <w:jc w:val="both"/>
        <w:rPr>
          <w:sz w:val="24"/>
        </w:rPr>
      </w:pPr>
      <w:r>
        <w:rPr>
          <w:sz w:val="24"/>
        </w:rPr>
      </w:r>
    </w:p>
    <w:p>
      <w:pPr>
        <w:pStyle w:val="Normal"/>
        <w:jc w:val="both"/>
        <w:rPr>
          <w:sz w:val="24"/>
        </w:rPr>
      </w:pPr>
      <w:r>
        <w:rPr>
          <w:sz w:val="24"/>
        </w:rPr>
        <w:tab/>
        <w:t>Another factor is related to the deregulation of the US markets which, in different energy sectors, has affected both producers (natural gas) and consumers of energy (for example, airlines and utilities). Deregulation has resulted in intense competition, and a concomitant sensitivity to price fluctuations. As companies have realised how vulnerable they are to fluctuations in commodity (especially energy) prices, they have tended to create or expand risk management units. Such specialised units have proven more likely to accept novel risk management instruments such as exotic options.</w:t>
      </w:r>
    </w:p>
    <w:p>
      <w:pPr>
        <w:pStyle w:val="Normal"/>
        <w:jc w:val="both"/>
        <w:rPr>
          <w:sz w:val="24"/>
        </w:rPr>
      </w:pPr>
      <w:r>
        <w:rPr>
          <w:sz w:val="24"/>
        </w:rPr>
      </w:r>
    </w:p>
    <w:p>
      <w:pPr>
        <w:pStyle w:val="Normal"/>
        <w:jc w:val="both"/>
        <w:rPr/>
      </w:pPr>
      <w:r>
        <w:rPr>
          <w:sz w:val="24"/>
        </w:rPr>
        <w:tab/>
        <w:t>One of the main reasons that exotic options have been accepted within the energy industry is that options were, in fact, embedded in many energy contracts long before they became fashionable tools of financial engineering (and even before they were analysed in academic papers). An example is provided by the “take-or-pay” contracts in the natural gas industry. Under such a contract, the buyer agreed to purchase fixed-price gas up to an annual maximum, but became subject to deficiency payments if the volume bought dropped below a minimum amount. For example, a buyer of 3,600,000 MMBtus</w:t>
      </w:r>
      <w:r>
        <w:rPr>
          <w:sz w:val="24"/>
          <w:vertAlign w:val="superscript"/>
        </w:rPr>
        <w:t>2</w:t>
      </w:r>
      <w:r>
        <w:rPr>
          <w:sz w:val="24"/>
        </w:rPr>
        <w:t xml:space="preserve"> of gas per year with a minimum take of 50% could elect to purchase 1,800,000 MMBtus. But any shortfall below the 1,800,000 MMBtu level would trigger a penalty payment equal to the product of the deficiency times an agreed unit fine. In addition, many contracts allowed the buyer to vary their take amount widely from month to month - providing they bought the agreed volume over the year. The buyer effectively had an option on the timing of purchases over the year, and thus could take into consideration, among other factors, the prices of alternative fuels. Until the late 1980s, these options were not explicitly recognised (or priced) by the sellers, who lacked the financial sophistication to isolate them from the other provisions of the contract. </w:t>
      </w:r>
    </w:p>
    <w:p>
      <w:pPr>
        <w:pStyle w:val="Normal"/>
        <w:jc w:val="both"/>
        <w:rPr>
          <w:sz w:val="24"/>
        </w:rPr>
      </w:pPr>
      <w:r>
        <w:rPr>
          <w:sz w:val="24"/>
        </w:rPr>
      </w:r>
    </w:p>
    <w:p>
      <w:pPr>
        <w:pStyle w:val="Normal"/>
        <w:jc w:val="both"/>
        <w:rPr/>
      </w:pPr>
      <w:r>
        <w:rPr>
          <w:sz w:val="24"/>
        </w:rPr>
        <w:tab/>
        <w:t>Moreover, certain contracts in the energy industry contained, directly or indirectly, averaging provisions. For example, many contracts in the oil industry are based on the monthly or weekly averages of reference spot prices compiled by different institutions. Similarly, many natural gas contracts settle against reference prices which are, in effect, averages over some time period. This arose because the price indices compiled by newsletters in the natural gas industry - widely used as a pricing benchmark in supply contracts - represent average prices during the bid-week</w:t>
      </w:r>
      <w:r>
        <w:rPr>
          <w:sz w:val="24"/>
          <w:vertAlign w:val="superscript"/>
        </w:rPr>
        <w:t>3</w:t>
      </w:r>
      <w:r>
        <w:rPr>
          <w:sz w:val="24"/>
        </w:rPr>
        <w:t xml:space="preserve"> for deliveries of gas at specified locations. It follows that the risk exposure of most producers and end-users of oil and gas is to an average price level over a period of time, and this facilitated the acceptance of Asian options.</w:t>
      </w:r>
    </w:p>
    <w:p>
      <w:pPr>
        <w:pStyle w:val="Normal"/>
        <w:jc w:val="both"/>
        <w:rPr>
          <w:sz w:val="24"/>
        </w:rPr>
      </w:pPr>
      <w:r>
        <w:rPr>
          <w:sz w:val="24"/>
        </w:rPr>
      </w:r>
    </w:p>
    <w:p>
      <w:pPr>
        <w:pStyle w:val="Normal"/>
        <w:jc w:val="both"/>
        <w:rPr>
          <w:sz w:val="24"/>
        </w:rPr>
      </w:pPr>
      <w:r>
        <w:rPr>
          <w:sz w:val="24"/>
        </w:rPr>
        <w:tab/>
        <w:t xml:space="preserve">One of the distinctive features of commodity risk management is the importance of basis risk, where basis is defined as the difference between two prices. This type of risk leads directly to another type of exotic option that is commonly traded in the energy business. Refiners are exposed to risks associated with changing crack spreads (the price differential between crude and the refined products); and producers are exposed to changing spreads between the prices of various grades of crude, or between the prices for natural gas at different geographic locations. In addition, both producers and consumers may be exposed to a “seasonal” risk (summer to winter price changes) or “annual” (year-to-year) price risk. All these types of risks have led to the prevalence of spread options in the industry. </w:t>
      </w:r>
    </w:p>
    <w:p>
      <w:pPr>
        <w:pStyle w:val="Normal"/>
        <w:jc w:val="both"/>
        <w:rPr>
          <w:sz w:val="24"/>
        </w:rPr>
      </w:pPr>
      <w:r>
        <w:rPr>
          <w:sz w:val="24"/>
        </w:rPr>
      </w:r>
    </w:p>
    <w:p>
      <w:pPr>
        <w:pStyle w:val="Normal"/>
        <w:ind w:firstLine="720" w:end="0"/>
        <w:jc w:val="both"/>
        <w:rPr>
          <w:sz w:val="24"/>
        </w:rPr>
      </w:pPr>
      <w:r>
        <w:rPr>
          <w:sz w:val="24"/>
        </w:rPr>
        <w:t>Another major reason for the increasing popularity of exotic options is that the recent period of high price volatility in energy inputs has coincided with increased price volatility in other commodities - in particular, commodities that are associated with large energy inputs such as copper and aluminium. This volatility has seemed particularly threatening to producers because the globalisation of many industries, and worldwide excess capacity, mean that it is difficult to transfer higher input costs to customers. Certain kinds of exotic options are particularly suited to the management of multiple price exposures simultaneously.</w:t>
      </w:r>
    </w:p>
    <w:p>
      <w:pPr>
        <w:pStyle w:val="Normal"/>
        <w:ind w:firstLine="720" w:end="0"/>
        <w:jc w:val="both"/>
        <w:rPr>
          <w:sz w:val="24"/>
        </w:rPr>
      </w:pPr>
      <w:r>
        <w:rPr>
          <w:sz w:val="24"/>
        </w:rPr>
      </w:r>
    </w:p>
    <w:p>
      <w:pPr>
        <w:pStyle w:val="Normal"/>
        <w:ind w:firstLine="720" w:end="0"/>
        <w:jc w:val="both"/>
        <w:rPr>
          <w:sz w:val="24"/>
        </w:rPr>
      </w:pPr>
      <w:r>
        <w:rPr>
          <w:sz w:val="24"/>
        </w:rPr>
        <w:tab/>
        <w:t>By the same token, an energy producer with debt on the balance sheet will suffer if energy prices fall or if interest rates increase. But the real danger arises if these two conditions happen to coincide. A producer may seek protection against low prices and higher interest rates independently, but it may be more cost efficient to seek remedies against the joint occurrence of these two related risky situations. This creates the need for an option with a payoff that is dependent on two prices: the energy index price and interest rates. Such options tend to be referred to as either exotic or hybrid contracts. We will look at some of the technical aspects of this type of option; a more detailed discussion of their application and the concept of “integrated risk management” can be found in the next chapter.</w:t>
      </w:r>
    </w:p>
    <w:p>
      <w:pPr>
        <w:pStyle w:val="Normal"/>
        <w:ind w:firstLine="720" w:end="0"/>
        <w:jc w:val="both"/>
        <w:rPr>
          <w:sz w:val="24"/>
        </w:rPr>
      </w:pPr>
      <w:r>
        <w:rPr>
          <w:sz w:val="24"/>
        </w:rPr>
      </w:r>
    </w:p>
    <w:p>
      <w:pPr>
        <w:pStyle w:val="Normal"/>
        <w:ind w:firstLine="720" w:end="0"/>
        <w:jc w:val="both"/>
        <w:rPr>
          <w:sz w:val="24"/>
        </w:rPr>
      </w:pPr>
      <w:r>
        <w:rPr>
          <w:sz w:val="24"/>
        </w:rPr>
        <w:t xml:space="preserve">This chapter is intended to provide a comprehensive review of the range of exotic options used in the energy industry. Our objective is to cover a rapidly expanding and highly technical area of applied finance in a way that is useful to a wide audience of professionals in the energy industry who might have had a limited prior exposure to derivatives; the chapter should also provide a useful and up-to-date summary of energy specific applications for derivative professionals. We provide the essential mathematical details and give detailed references to the most important papers; Appendix B at the back of this book lists many of the standard formulae for pricing exotic options. </w:t>
      </w:r>
    </w:p>
    <w:p>
      <w:pPr>
        <w:pStyle w:val="Normal"/>
        <w:ind w:firstLine="720" w:end="0"/>
        <w:jc w:val="both"/>
        <w:rPr>
          <w:sz w:val="24"/>
        </w:rPr>
      </w:pPr>
      <w:r>
        <w:rPr>
          <w:sz w:val="24"/>
        </w:rPr>
      </w:r>
    </w:p>
    <w:p>
      <w:pPr>
        <w:pStyle w:val="Normal"/>
        <w:ind w:firstLine="720" w:end="0"/>
        <w:jc w:val="both"/>
        <w:rPr/>
      </w:pPr>
      <w:r>
        <w:rPr>
          <w:sz w:val="24"/>
        </w:rPr>
        <w:t xml:space="preserve">We begin by defining what exactly is an “exotic” option, and then move on to discuss modelling and pricing. This overview is followed by sections describing each of the different types of contracts that have gained popularity in the energy industry: path-dependent options; dual-commodity options; compound options; digital options; and natural gas </w:t>
      </w:r>
      <w:r>
        <w:rPr>
          <w:color w:val="FF00FF"/>
          <w:sz w:val="24"/>
        </w:rPr>
        <w:t>and electricity</w:t>
      </w:r>
      <w:r>
        <w:rPr>
          <w:sz w:val="24"/>
        </w:rPr>
        <w:t xml:space="preserve"> daily options. In our concluding section, we offer a resumé of some of the most pressing practical issues facing the providers and major end-users of exotic options.</w:t>
      </w:r>
    </w:p>
    <w:p>
      <w:pPr>
        <w:pStyle w:val="Normal"/>
        <w:jc w:val="both"/>
        <w:rPr>
          <w:sz w:val="24"/>
        </w:rPr>
      </w:pPr>
      <w:r>
        <w:rPr>
          <w:sz w:val="24"/>
        </w:rPr>
      </w:r>
    </w:p>
    <w:p>
      <w:pPr>
        <w:pStyle w:val="Normal"/>
        <w:jc w:val="both"/>
        <w:rPr>
          <w:color w:val="FF00FF"/>
          <w:sz w:val="24"/>
        </w:rPr>
      </w:pPr>
      <w:r>
        <w:rPr>
          <w:color w:val="FF00FF"/>
          <w:sz w:val="24"/>
        </w:rPr>
        <w:tab/>
        <w:t>The version of this chapter included in the second edition of this book has been updated not only to cover some most important technical developments in this field but also to address the reaction the industry to the changing derivatives landscape. Our exposure to trading operations at Enron Capital and Trade Resources leads us to believe that the energy industry, saturated with people with strong quantitative skills, rejected the transplants from the financial markets that did not address adequately the needs of doing business. We have decided to reduce the amount of space devoted to less popular options and to give more attention to options that gained permanent citizenship rights in the energy markets. Additional space has been also devoted to modelling the dynamics of the underlying prices. We offer more reflections on the market trends in Panel 1.</w:t>
      </w:r>
    </w:p>
    <w:p>
      <w:pPr>
        <w:pStyle w:val="Normal"/>
        <w:jc w:val="both"/>
        <w:rPr>
          <w:color w:val="FF00FF"/>
          <w:sz w:val="24"/>
        </w:rPr>
      </w:pPr>
      <w:r>
        <w:rPr>
          <w:color w:val="FF00FF"/>
          <w:sz w:val="24"/>
        </w:rPr>
        <w:t xml:space="preserve">  </w:t>
      </w:r>
    </w:p>
    <w:p>
      <w:pPr>
        <w:pStyle w:val="Normal"/>
        <w:ind w:firstLine="720" w:end="0"/>
        <w:jc w:val="both"/>
        <w:rPr/>
      </w:pPr>
      <w:r>
        <w:rPr>
          <w:sz w:val="24"/>
        </w:rPr>
        <w:t xml:space="preserve">What are exotic options? </w:t>
      </w:r>
      <w:r>
        <w:rPr>
          <w:color w:val="0000FF"/>
          <w:sz w:val="24"/>
        </w:rPr>
        <w:t xml:space="preserve">The term exotic option is generally applied to those derivative contracts that diverge from the assumptions inherent in the early models developed by Black-Scholes (1973), Merton (1973) and Cox, Ross, and Rubinstein (1979). These early models apply to call and put options with payoffs that are defined as the difference between the price of the underlying instrument (F(T)) at the time that the option is exercised (T) and the strike price (K), or zero if it makes no sense to exercise. </w:t>
      </w:r>
    </w:p>
    <w:p>
      <w:pPr>
        <w:pStyle w:val="Normal"/>
        <w:ind w:firstLine="720" w:end="0"/>
        <w:jc w:val="both"/>
        <w:rPr>
          <w:color w:val="0000FF"/>
          <w:sz w:val="24"/>
        </w:rPr>
      </w:pPr>
      <w:r>
        <w:rPr>
          <w:color w:val="0000FF"/>
          <w:sz w:val="24"/>
        </w:rPr>
      </w:r>
    </w:p>
    <w:p>
      <w:pPr>
        <w:pStyle w:val="Normal"/>
        <w:ind w:firstLine="720" w:end="0"/>
        <w:jc w:val="both"/>
        <w:rPr>
          <w:color w:val="0000FF"/>
          <w:sz w:val="24"/>
        </w:rPr>
      </w:pPr>
      <w:r>
        <w:rPr>
          <w:color w:val="0000FF"/>
          <w:sz w:val="24"/>
        </w:rPr>
        <w:t xml:space="preserve">To be more precise, the payoff of these options is defined as max(F(T)-K,0), in the case of a call, or max(K-F(T),0) in the case of a put. In the case of a European option, exercise is allowed only at expiration; in the case of an American option, early exercise is possible. To price an option, one has to make assumptions regarding the dynamics of the price of the underlying instrument, with Geometric Brownian motion (GBM) being by far the most popular assumption. </w:t>
      </w:r>
    </w:p>
    <w:p>
      <w:pPr>
        <w:pStyle w:val="Normal"/>
        <w:ind w:firstLine="720" w:end="0"/>
        <w:jc w:val="both"/>
        <w:rPr>
          <w:color w:val="0000FF"/>
          <w:sz w:val="24"/>
        </w:rPr>
      </w:pPr>
      <w:r>
        <w:rPr>
          <w:color w:val="0000FF"/>
          <w:sz w:val="24"/>
        </w:rPr>
      </w:r>
    </w:p>
    <w:p>
      <w:pPr>
        <w:pStyle w:val="Normal"/>
        <w:ind w:firstLine="720" w:end="0"/>
        <w:jc w:val="both"/>
        <w:rPr>
          <w:color w:val="0000FF"/>
          <w:sz w:val="24"/>
        </w:rPr>
      </w:pPr>
      <w:r>
        <w:rPr>
          <w:color w:val="0000FF"/>
          <w:sz w:val="24"/>
        </w:rPr>
        <w:t>We may now define as exotic all option pricing models which depart from the standard assumptions either in terms of payoff definition or in terms of the stochastic process used to describe the dynamics of the underlying asset’s price. Panel 1 contains the discussion of departures from standard formulations of option payoffs that convert a derivative contract from a plain vanilla variety to an exotic one. Next section reviews the properties of energy prices that require modifications of assumptions regarding the stochastic process used to construct pricing models.</w:t>
      </w:r>
    </w:p>
    <w:p>
      <w:pPr>
        <w:pStyle w:val="BodyTextIndent2"/>
        <w:jc w:val="both"/>
        <w:rPr>
          <w:rFonts w:ascii="Times New Roman" w:hAnsi="Times New Roman" w:cs="Times New Roman"/>
          <w:color w:val="0000FF"/>
          <w:sz w:val="24"/>
        </w:rPr>
      </w:pPr>
      <w:r>
        <w:rPr>
          <w:rFonts w:cs="Times New Roman" w:ascii="Times New Roman" w:hAnsi="Times New Roman"/>
          <w:color w:val="0000FF"/>
          <w:sz w:val="24"/>
        </w:rPr>
      </w:r>
    </w:p>
    <w:p>
      <w:pPr>
        <w:pStyle w:val="BodyTextIndent2"/>
        <w:jc w:val="both"/>
        <w:rPr>
          <w:rFonts w:ascii="Times New Roman" w:hAnsi="Times New Roman" w:cs="Times New Roman"/>
          <w:sz w:val="24"/>
        </w:rPr>
      </w:pPr>
      <w:r>
        <w:rPr>
          <w:rFonts w:cs="Times New Roman" w:ascii="Times New Roman" w:hAnsi="Times New Roman"/>
          <w:sz w:val="24"/>
        </w:rPr>
        <w:t>The standard assumption of the Black-Scholes framework is that the price of the underlying instrument (F) follows a geometric Brownian motion process, defined by:</w:t>
      </w:r>
    </w:p>
    <w:p>
      <w:pPr>
        <w:pStyle w:val="BodyTextIndent2"/>
        <w:jc w:val="both"/>
        <w:rPr>
          <w:rFonts w:ascii="Times New Roman" w:hAnsi="Times New Roman" w:cs="Times New Roman"/>
          <w:sz w:val="24"/>
        </w:rPr>
      </w:pPr>
      <w:r>
        <w:rPr>
          <w:rFonts w:cs="Times New Roman" w:ascii="Times New Roman" w:hAnsi="Times New Roman"/>
          <w:sz w:val="24"/>
        </w:rPr>
      </w:r>
    </w:p>
    <w:p>
      <w:pPr>
        <w:pStyle w:val="BodyTextIndent2"/>
        <w:ind w:hanging="0" w:start="2880" w:end="0"/>
        <w:jc w:val="both"/>
        <w:rPr/>
      </w:pPr>
      <w:r>
        <w:rPr>
          <w:rFonts w:cs="Times New Roman" w:ascii="Times New Roman" w:hAnsi="Times New Roman"/>
          <w:sz w:val="24"/>
        </w:rPr>
        <w:t xml:space="preserve"> </w:t>
      </w:r>
      <w:r>
        <w:rPr>
          <w:rFonts w:cs="Times New Roman" w:ascii="Times New Roman" w:hAnsi="Times New Roman"/>
        </w:rPr>
        <w:object w:dxaOrig="1740" w:dyaOrig="2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7pt;height:14pt" filled="f" o:ole="">
            <v:imagedata r:id="rId3" o:title=""/>
          </v:shape>
          <o:OLEObject Type="Embed" ProgID="" ShapeID="ole_rId2" DrawAspect="Content" ObjectID="_501542301" r:id="rId2"/>
        </w:object>
      </w:r>
      <w:r>
        <w:rPr>
          <w:rFonts w:cs="Times New Roman" w:ascii="Times New Roman" w:hAnsi="Times New Roman"/>
          <w:sz w:val="24"/>
        </w:rPr>
        <w:tab/>
        <w:tab/>
        <w:tab/>
        <w:tab/>
        <w:tab/>
        <w:t>(1)</w:t>
      </w:r>
    </w:p>
    <w:p>
      <w:pPr>
        <w:pStyle w:val="BodyTextIndent2"/>
        <w:ind w:hanging="0" w:start="2880" w:end="0"/>
        <w:jc w:val="both"/>
        <w:rPr>
          <w:rFonts w:ascii="Times New Roman" w:hAnsi="Times New Roman" w:cs="Times New Roman"/>
          <w:sz w:val="24"/>
        </w:rPr>
      </w:pPr>
      <w:r>
        <w:rPr>
          <w:rFonts w:cs="Times New Roman" w:ascii="Times New Roman" w:hAnsi="Times New Roman"/>
          <w:sz w:val="24"/>
        </w:rPr>
      </w:r>
    </w:p>
    <w:p>
      <w:pPr>
        <w:pStyle w:val="Normal"/>
        <w:jc w:val="both"/>
        <w:rPr/>
      </w:pPr>
      <w:r>
        <w:rPr>
          <w:sz w:val="24"/>
        </w:rPr>
        <w:t xml:space="preserve">where </w:t>
        <w:tab/>
      </w:r>
      <w:r>
        <w:rPr>
          <w:rFonts w:eastAsia="Symbol" w:cs="Symbol" w:ascii="Symbol" w:hAnsi="Symbol"/>
          <w:sz w:val="24"/>
        </w:rPr>
        <w:sym w:font="Symbol" w:char="f06d"/>
      </w:r>
      <w:r>
        <w:rPr>
          <w:sz w:val="24"/>
        </w:rPr>
        <w:t>= drift (instantaneous expected return)</w:t>
      </w:r>
    </w:p>
    <w:p>
      <w:pPr>
        <w:pStyle w:val="Normal"/>
        <w:ind w:firstLine="720" w:end="0"/>
        <w:jc w:val="both"/>
        <w:rPr/>
      </w:pPr>
      <w:r>
        <w:rPr>
          <w:rFonts w:eastAsia="Symbol" w:cs="Symbol" w:ascii="Symbol" w:hAnsi="Symbol"/>
          <w:sz w:val="24"/>
        </w:rPr>
        <w:sym w:font="Symbol" w:char="f073"/>
      </w:r>
      <w:r>
        <w:rPr>
          <w:sz w:val="24"/>
        </w:rPr>
        <w:t xml:space="preserve"> </w:t>
      </w:r>
      <w:r>
        <w:rPr>
          <w:sz w:val="24"/>
        </w:rPr>
        <w:t>= volatility</w:t>
      </w:r>
    </w:p>
    <w:p>
      <w:pPr>
        <w:pStyle w:val="Normal"/>
        <w:ind w:firstLine="720" w:end="0"/>
        <w:jc w:val="both"/>
        <w:rPr/>
      </w:pPr>
      <w:r>
        <w:rPr>
          <w:sz w:val="24"/>
        </w:rPr>
        <w:t xml:space="preserve">dz = Wiener’s variable (dz = </w:t>
      </w:r>
      <w:r>
        <w:rPr>
          <w:rFonts w:eastAsia="Symbol" w:cs="Symbol" w:ascii="Symbol" w:hAnsi="Symbol"/>
          <w:sz w:val="24"/>
        </w:rPr>
        <w:sym w:font="Symbol" w:char="f065"/>
        <w:sym w:font="Symbol" w:char="f0d6"/>
      </w:r>
      <w:r>
        <w:rPr>
          <w:sz w:val="24"/>
        </w:rPr>
        <w:t xml:space="preserve">dt, </w:t>
      </w:r>
      <w:r>
        <w:rPr>
          <w:rFonts w:eastAsia="Symbol" w:cs="Symbol" w:ascii="Symbol" w:hAnsi="Symbol"/>
          <w:sz w:val="24"/>
        </w:rPr>
        <w:sym w:font="Symbol" w:char="f065"/>
      </w:r>
      <w:r>
        <w:rPr>
          <w:sz w:val="24"/>
        </w:rPr>
        <w:t xml:space="preserve"> being the standard normal random variable)</w:t>
        <w:tab/>
        <w:t>and dt is an infinitesimally small step in time.</w:t>
      </w:r>
    </w:p>
    <w:p>
      <w:pPr>
        <w:pStyle w:val="Normal"/>
        <w:jc w:val="both"/>
        <w:rPr>
          <w:sz w:val="24"/>
        </w:rPr>
      </w:pPr>
      <w:r>
        <w:rPr>
          <w:sz w:val="24"/>
        </w:rPr>
        <w:tab/>
        <w:t>Black and Scholes (1973) proposed a formula for pricing European options on a stock that does not pay dividends. Their formula, one of the most important contributions to applied economics, reads as follows (for a call):</w:t>
      </w:r>
    </w:p>
    <w:p>
      <w:pPr>
        <w:pStyle w:val="Normal"/>
        <w:jc w:val="both"/>
        <w:rPr>
          <w:sz w:val="24"/>
        </w:rPr>
      </w:pPr>
      <w:r>
        <w:rPr>
          <w:sz w:val="24"/>
        </w:rPr>
      </w:r>
    </w:p>
    <w:p>
      <w:pPr>
        <w:pStyle w:val="Normal"/>
        <w:ind w:start="2160" w:end="0"/>
        <w:jc w:val="both"/>
        <w:rPr/>
      </w:pPr>
      <w:r>
        <w:rPr/>
      </w:r>
      <m:oMath xmlns:m="http://schemas.openxmlformats.org/officeDocument/2006/math">
        <m:r>
          <m:t xml:space="preserve">c</m:t>
        </m:r>
        <m:r>
          <m:t xml:space="preserve">=</m:t>
        </m:r>
        <m:r>
          <m:t xml:space="preserve">S</m:t>
        </m:r>
        <m:r>
          <m:t xml:space="preserve">(</m:t>
        </m:r>
        <m:r>
          <m:t xml:space="preserve">t</m:t>
        </m:r>
        <m:r>
          <m:t xml:space="preserve">)</m:t>
        </m:r>
        <m:r>
          <m:t xml:space="preserve">N</m:t>
        </m:r>
        <m:r>
          <m:t xml:space="preserve">(</m:t>
        </m:r>
        <m:r>
          <m:t xml:space="preserve">d</m:t>
        </m:r>
        <m:r>
          <m:t xml:space="preserve">1</m:t>
        </m:r>
        <m:r>
          <m:t xml:space="preserve">)</m:t>
        </m:r>
        <m:r>
          <m:t xml:space="preserve">−</m:t>
        </m:r>
        <m:sSup>
          <m:e>
            <m:r>
              <m:t xml:space="preserve">e</m:t>
            </m:r>
          </m:e>
          <m:sup>
            <m:r>
              <m:t xml:space="preserve">−</m:t>
            </m:r>
            <m:r>
              <m:t xml:space="preserve">r</m:t>
            </m:r>
            <m:r>
              <m:t xml:space="preserve">(</m:t>
            </m:r>
            <m:r>
              <m:t xml:space="preserve">T</m:t>
            </m:r>
            <m:r>
              <m:t xml:space="preserve">−</m:t>
            </m:r>
            <m:r>
              <m:t xml:space="preserve">t</m:t>
            </m:r>
            <m:r>
              <m:t xml:space="preserve">)</m:t>
            </m:r>
          </m:sup>
        </m:sSup>
        <m:r>
          <m:rPr>
            <m:lit/>
            <m:nor/>
          </m:rPr>
          <m:t xml:space="preserve">KN</m:t>
        </m:r>
        <m:r>
          <m:t xml:space="preserve">(</m:t>
        </m:r>
        <m:r>
          <m:t xml:space="preserve">d</m:t>
        </m:r>
        <m:r>
          <m:t xml:space="preserve">2</m:t>
        </m:r>
        <m:r>
          <m:t xml:space="preserve">)</m:t>
        </m:r>
      </m:oMath>
      <w:r>
        <w:rPr>
          <w:sz w:val="24"/>
        </w:rPr>
        <w:tab/>
        <w:tab/>
        <w:tab/>
        <w:tab/>
        <w:tab/>
        <w:t>(2)</w:t>
      </w:r>
    </w:p>
    <w:p>
      <w:pPr>
        <w:pStyle w:val="Normal"/>
        <w:jc w:val="both"/>
        <w:rPr>
          <w:sz w:val="24"/>
        </w:rPr>
      </w:pPr>
      <w:r>
        <w:rPr>
          <w:sz w:val="24"/>
        </w:rPr>
      </w:r>
    </w:p>
    <w:p>
      <w:pPr>
        <w:pStyle w:val="Normal"/>
        <w:jc w:val="both"/>
        <w:rPr>
          <w:sz w:val="24"/>
        </w:rPr>
      </w:pPr>
      <w:r>
        <w:rPr>
          <w:sz w:val="24"/>
        </w:rPr>
        <w:t>where</w:t>
      </w:r>
    </w:p>
    <w:p>
      <w:pPr>
        <w:pStyle w:val="Normal"/>
        <w:jc w:val="both"/>
        <w:rPr>
          <w:sz w:val="24"/>
        </w:rPr>
      </w:pPr>
      <w:r>
        <w:rPr>
          <w:sz w:val="24"/>
        </w:rPr>
        <w:tab/>
        <w:tab/>
      </w:r>
      <w:r>
        <w:rPr/>
      </w:r>
      <m:oMath xmlns:m="http://schemas.openxmlformats.org/officeDocument/2006/math">
        <m:sSub>
          <m:e>
            <m:r>
              <m:t xml:space="preserve">d</m:t>
            </m:r>
          </m:e>
          <m:sub>
            <m:r>
              <m:t xml:space="preserve">1</m:t>
            </m:r>
          </m:sub>
        </m:sSub>
        <m:r>
          <m:t xml:space="preserve">=</m:t>
        </m:r>
        <m:f>
          <m:num>
            <m:r>
              <m:rPr>
                <m:lit/>
                <m:nor/>
              </m:rPr>
              <m:t xml:space="preserve">ln</m:t>
            </m:r>
            <m:r>
              <m:t xml:space="preserve">(</m:t>
            </m:r>
            <m:r>
              <m:t xml:space="preserve">S</m:t>
            </m:r>
            <m:r>
              <m:t xml:space="preserve">(</m:t>
            </m:r>
            <m:r>
              <m:t xml:space="preserve">t</m:t>
            </m:r>
            <m:f>
              <m:fPr>
                <m:type m:val="lin"/>
              </m:fPr>
              <m:num>
                <m:r>
                  <m:t xml:space="preserve">)</m:t>
                </m:r>
              </m:num>
              <m:den>
                <m:r>
                  <m:t xml:space="preserve">K</m:t>
                </m:r>
              </m:den>
            </m:f>
            <m:r>
              <m:t xml:space="preserve">)</m:t>
            </m:r>
            <m:r>
              <m:t xml:space="preserve">+</m:t>
            </m:r>
            <m:r>
              <m:t xml:space="preserve">(</m:t>
            </m:r>
            <m:r>
              <m:t xml:space="preserve">r</m:t>
            </m:r>
            <m:r>
              <m:t xml:space="preserve">+</m:t>
            </m:r>
            <m:r>
              <m:t xml:space="preserve">0</m:t>
            </m:r>
            <m:r>
              <m:rPr>
                <m:lit/>
                <m:nor/>
              </m:rPr>
              <m:t xml:space="preserve">.</m:t>
            </m:r>
            <m:r>
              <m:t xml:space="preserve">5</m:t>
            </m:r>
            <m:sSup>
              <m:e>
                <m:r>
                  <m:t xml:space="preserve">σ</m:t>
                </m:r>
              </m:e>
              <m:sup>
                <m:r>
                  <m:t xml:space="preserve">2</m:t>
                </m:r>
              </m:sup>
            </m:sSup>
            <m:r>
              <m:t xml:space="preserve">)</m:t>
            </m:r>
            <m:r>
              <m:t xml:space="preserve">(</m:t>
            </m:r>
            <m:r>
              <m:t xml:space="preserve">T</m:t>
            </m:r>
            <m:r>
              <m:t xml:space="preserve">−</m:t>
            </m:r>
            <m:r>
              <m:t xml:space="preserve">t</m:t>
            </m:r>
            <m:r>
              <m:t xml:space="preserve">)</m:t>
            </m:r>
          </m:num>
          <m:den>
            <m:r>
              <m:t xml:space="preserve">σ</m:t>
            </m:r>
            <m:rad>
              <m:radPr>
                <m:degHide m:val="1"/>
              </m:radPr>
              <m:deg/>
              <m:e>
                <m:r>
                  <m:t xml:space="preserve">T</m:t>
                </m:r>
                <m:r>
                  <m:t xml:space="preserve">−</m:t>
                </m:r>
                <m:r>
                  <m:t xml:space="preserve">t</m:t>
                </m:r>
              </m:e>
            </m:rad>
          </m:den>
        </m:f>
      </m:oMath>
    </w:p>
    <w:p>
      <w:pPr>
        <w:pStyle w:val="Normal"/>
        <w:jc w:val="both"/>
        <w:rPr>
          <w:sz w:val="24"/>
        </w:rPr>
      </w:pPr>
      <w:r>
        <w:rPr>
          <w:sz w:val="24"/>
        </w:rPr>
      </w:r>
    </w:p>
    <w:p>
      <w:pPr>
        <w:pStyle w:val="Normal"/>
        <w:jc w:val="both"/>
        <w:rPr>
          <w:sz w:val="24"/>
        </w:rPr>
      </w:pPr>
      <w:r>
        <w:rPr>
          <w:sz w:val="24"/>
        </w:rPr>
        <w:tab/>
        <w:tab/>
      </w:r>
      <w:r>
        <w:rPr/>
        <w:object w:dxaOrig="1720" w:dyaOrig="3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6pt;height:17pt" filled="f" o:ole="">
            <v:imagedata r:id="rId5" o:title=""/>
          </v:shape>
          <o:OLEObject Type="Embed" ProgID="" ShapeID="ole_rId4" DrawAspect="Content" ObjectID="_2144449804" r:id="rId4"/>
        </w:object>
      </w:r>
    </w:p>
    <w:p>
      <w:pPr>
        <w:pStyle w:val="BodyTextIndent2"/>
        <w:ind w:hanging="0" w:end="0"/>
        <w:jc w:val="both"/>
        <w:rPr>
          <w:rFonts w:ascii="Times New Roman" w:hAnsi="Times New Roman" w:cs="Times New Roman"/>
          <w:sz w:val="24"/>
        </w:rPr>
      </w:pPr>
      <w:r>
        <w:rPr>
          <w:rFonts w:cs="Times New Roman" w:ascii="Times New Roman" w:hAnsi="Times New Roman"/>
          <w:sz w:val="24"/>
        </w:rPr>
      </w:r>
    </w:p>
    <w:p>
      <w:pPr>
        <w:pStyle w:val="Normal"/>
        <w:jc w:val="both"/>
        <w:rPr>
          <w:sz w:val="24"/>
        </w:rPr>
      </w:pPr>
      <w:r>
        <w:rPr>
          <w:sz w:val="24"/>
        </w:rPr>
        <w:t>where t = valuation time</w:t>
      </w:r>
    </w:p>
    <w:p>
      <w:pPr>
        <w:pStyle w:val="Normal"/>
        <w:jc w:val="both"/>
        <w:rPr>
          <w:sz w:val="24"/>
        </w:rPr>
      </w:pPr>
      <w:r>
        <w:rPr>
          <w:sz w:val="24"/>
        </w:rPr>
        <w:t>T-t = life of the option in years</w:t>
      </w:r>
    </w:p>
    <w:p>
      <w:pPr>
        <w:pStyle w:val="Normal"/>
        <w:jc w:val="both"/>
        <w:rPr>
          <w:sz w:val="24"/>
        </w:rPr>
      </w:pPr>
      <w:r>
        <w:rPr>
          <w:sz w:val="24"/>
        </w:rPr>
        <w:t>r = risk-free interest rate</w:t>
      </w:r>
    </w:p>
    <w:p>
      <w:pPr>
        <w:pStyle w:val="Normal"/>
        <w:jc w:val="both"/>
        <w:rPr>
          <w:sz w:val="24"/>
        </w:rPr>
      </w:pPr>
      <w:r>
        <w:rPr>
          <w:sz w:val="24"/>
        </w:rPr>
        <w:t>K = strike price</w:t>
      </w:r>
    </w:p>
    <w:p>
      <w:pPr>
        <w:pStyle w:val="Normal"/>
        <w:jc w:val="both"/>
        <w:rPr>
          <w:sz w:val="24"/>
        </w:rPr>
      </w:pPr>
      <w:r>
        <w:rPr>
          <w:sz w:val="24"/>
        </w:rPr>
        <w:t>S(t) = stock price at time t</w:t>
      </w:r>
    </w:p>
    <w:p>
      <w:pPr>
        <w:pStyle w:val="Normal"/>
        <w:jc w:val="both"/>
        <w:rPr>
          <w:sz w:val="24"/>
        </w:rPr>
      </w:pPr>
      <w:r>
        <w:rPr>
          <w:sz w:val="24"/>
        </w:rPr>
        <w:t>N(.) = cumulative normal distribution function and</w:t>
      </w:r>
    </w:p>
    <w:p>
      <w:pPr>
        <w:pStyle w:val="Normal"/>
        <w:jc w:val="both"/>
        <w:rPr>
          <w:sz w:val="24"/>
        </w:rPr>
      </w:pPr>
      <w:r>
        <w:rPr>
          <w:sz w:val="24"/>
        </w:rPr>
        <w:t>C = call option value.</w:t>
      </w:r>
    </w:p>
    <w:p>
      <w:pPr>
        <w:pStyle w:val="Normal"/>
        <w:jc w:val="both"/>
        <w:rPr>
          <w:sz w:val="24"/>
        </w:rPr>
      </w:pPr>
      <w:r>
        <w:rPr>
          <w:sz w:val="24"/>
        </w:rPr>
      </w:r>
    </w:p>
    <w:p>
      <w:pPr>
        <w:pStyle w:val="Normal"/>
        <w:jc w:val="both"/>
        <w:rPr>
          <w:sz w:val="24"/>
        </w:rPr>
      </w:pPr>
      <w:r>
        <w:rPr>
          <w:sz w:val="24"/>
        </w:rPr>
        <w:tab/>
        <w:t xml:space="preserve">The use of the risk-free interest rate in formula (2) is based on the principle of risk-neutral valuation. Risk-neutral valuation uses the notion of a riskless portfolio, which is formed by combining an option with a position in the underlying and a bond. Since this portfolio has a predictable value under any circumstance, it is risk free and should earn the same rate of return as other risk-free securities. Information about the cost of creating a riskless portfolio allows us to price the option. </w:t>
      </w:r>
    </w:p>
    <w:p>
      <w:pPr>
        <w:pStyle w:val="Normal"/>
        <w:jc w:val="both"/>
        <w:rPr>
          <w:sz w:val="24"/>
        </w:rPr>
      </w:pPr>
      <w:r>
        <w:rPr>
          <w:sz w:val="24"/>
        </w:rPr>
      </w:r>
    </w:p>
    <w:p>
      <w:pPr>
        <w:pStyle w:val="Normal"/>
        <w:jc w:val="both"/>
        <w:rPr>
          <w:sz w:val="24"/>
        </w:rPr>
      </w:pPr>
      <w:r>
        <w:rPr>
          <w:sz w:val="24"/>
        </w:rPr>
        <w:tab/>
        <w:t>Note that the riskless hedge can be created even if the expected rate of return on the underlying instrument is unknown. This means that the price of an option can be determined without reference to investors’ preferences regarding the rate of return that they would require to hold the underlying. If investors’ risk preferences do not affect option prices, one can value the options under any type of risk preference – and it makes sense to assume the simple case of risk neutrality.</w:t>
      </w:r>
    </w:p>
    <w:p>
      <w:pPr>
        <w:pStyle w:val="Normal"/>
        <w:jc w:val="both"/>
        <w:rPr>
          <w:sz w:val="24"/>
        </w:rPr>
      </w:pPr>
      <w:r>
        <w:rPr>
          <w:sz w:val="24"/>
        </w:rPr>
      </w:r>
    </w:p>
    <w:p>
      <w:pPr>
        <w:pStyle w:val="Normal"/>
        <w:jc w:val="both"/>
        <w:rPr>
          <w:sz w:val="24"/>
        </w:rPr>
      </w:pPr>
      <w:r>
        <w:rPr>
          <w:sz w:val="24"/>
        </w:rPr>
        <w:tab/>
        <w:t xml:space="preserve">The Black-Scholes formula given by equation (2) must be modified if the standard assumption of geometric Brownian motion for the evolution of the underlying asset price is changed. Incorporation of a time-dependent or stochastic volatility is one example of a modified price evolution process. Another possibility is the selection of a different type of stochastic process altogether – for example, the jump diffusion process. Modifications to the Black-Scholes formula are also required if the option payoff definition diverges from the original specification in Black and Scholes. Asian options and lookback options are examples of options with other payoff definitions. </w:t>
      </w:r>
    </w:p>
    <w:p>
      <w:pPr>
        <w:pStyle w:val="Normal"/>
        <w:jc w:val="both"/>
        <w:rPr>
          <w:sz w:val="24"/>
        </w:rPr>
      </w:pPr>
      <w:r>
        <w:rPr>
          <w:sz w:val="24"/>
        </w:rPr>
      </w:r>
    </w:p>
    <w:p>
      <w:pPr>
        <w:pStyle w:val="Normal"/>
        <w:jc w:val="both"/>
        <w:rPr/>
      </w:pPr>
      <w:r>
        <w:rPr>
          <w:sz w:val="24"/>
        </w:rPr>
        <w:tab/>
        <w:t xml:space="preserve">In this chapter, we focus on options that have a payoff definition that is different from the standard Black-Scholes paradigm, and focus on variations that are popular within the energy industry. Unless otherwise stated, none of the options discussed here allow for early exercise (that is, all are European-style options). We assume that the underlying instrument is a forward contract on a physical commodity, such as crude oil or natural gas, and that the price follows the geometric Brownian motion process described by equation (1), unless we explicitly change this assumption. </w:t>
      </w:r>
      <w:r>
        <w:rPr>
          <w:color w:val="FF00FF"/>
          <w:sz w:val="24"/>
        </w:rPr>
        <w:t>We also address the modelling challenges related to the violations of the GBM assumption.</w:t>
      </w:r>
    </w:p>
    <w:p>
      <w:pPr>
        <w:pStyle w:val="Normal"/>
        <w:jc w:val="both"/>
        <w:rPr>
          <w:color w:val="FF00FF"/>
          <w:sz w:val="24"/>
        </w:rPr>
      </w:pPr>
      <w:r>
        <w:rPr>
          <w:color w:val="FF00FF"/>
          <w:sz w:val="24"/>
        </w:rPr>
      </w:r>
    </w:p>
    <w:p>
      <w:pPr>
        <w:pStyle w:val="Normal"/>
        <w:jc w:val="both"/>
        <w:rPr/>
      </w:pPr>
      <w:r>
        <w:rPr>
          <w:sz w:val="24"/>
        </w:rPr>
        <w:tab/>
        <w:t xml:space="preserve">One of the consequences of using a forward contract as the underlying is that the drift coefficient </w:t>
      </w:r>
      <w:r>
        <w:rPr>
          <w:rFonts w:eastAsia="Symbol" w:cs="Symbol" w:ascii="Symbol" w:hAnsi="Symbol"/>
          <w:sz w:val="24"/>
        </w:rPr>
        <w:sym w:font="Symbol" w:char="f06d"/>
      </w:r>
      <w:r>
        <w:rPr>
          <w:sz w:val="24"/>
        </w:rPr>
        <w:t xml:space="preserve"> in equation (1) is equal to 0. The drift of a forward price (or, technically speaking, the certainty equivalent) must be equal to zero, since the zero initial cost of entering into a forward contract is incompatible with an assumption of positive expected return (Black 1976). The use of futures prices is followed consistently in all the pricing formulae used in this chapter. It is important to stress that the formulae apply to options on financial contracts; they are not applicable to options on physical commodities. The call option on a forward contract has a premium given by</w:t>
      </w:r>
    </w:p>
    <w:p>
      <w:pPr>
        <w:pStyle w:val="Normal"/>
        <w:jc w:val="both"/>
        <w:rPr>
          <w:sz w:val="24"/>
        </w:rPr>
      </w:pPr>
      <w:r>
        <w:rPr>
          <w:sz w:val="24"/>
        </w:rPr>
        <w:t xml:space="preserve"> </w:t>
      </w:r>
    </w:p>
    <w:p>
      <w:pPr>
        <w:pStyle w:val="Normal"/>
        <w:jc w:val="both"/>
        <w:rPr/>
      </w:pPr>
      <w:r>
        <w:rPr>
          <w:sz w:val="24"/>
        </w:rPr>
        <w:tab/>
      </w:r>
      <w:r>
        <w:rPr/>
        <w:object w:dxaOrig="4020" w:dyaOrig="2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01pt;height:14pt" filled="f" o:ole="">
            <v:imagedata r:id="rId7" o:title=""/>
          </v:shape>
          <o:OLEObject Type="Embed" ProgID="" ShapeID="ole_rId6" DrawAspect="Content" ObjectID="_2072680784" r:id="rId6"/>
        </w:object>
      </w:r>
      <w:r>
        <w:rPr>
          <w:sz w:val="24"/>
        </w:rPr>
        <w:tab/>
        <w:tab/>
        <w:tab/>
        <w:tab/>
        <w:tab/>
        <w:t>(2a)</w:t>
      </w:r>
    </w:p>
    <w:p>
      <w:pPr>
        <w:pStyle w:val="Normal"/>
        <w:jc w:val="both"/>
        <w:rPr>
          <w:sz w:val="24"/>
        </w:rPr>
      </w:pPr>
      <w:r>
        <w:rPr>
          <w:sz w:val="24"/>
        </w:rPr>
      </w:r>
    </w:p>
    <w:p>
      <w:pPr>
        <w:pStyle w:val="Normal"/>
        <w:jc w:val="both"/>
        <w:rPr>
          <w:sz w:val="24"/>
        </w:rPr>
      </w:pPr>
      <w:r>
        <w:rPr>
          <w:sz w:val="24"/>
        </w:rPr>
        <w:t>where</w:t>
        <w:tab/>
        <w:tab/>
      </w:r>
      <w:r>
        <w:rPr/>
        <w:object w:dxaOrig="3100" w:dyaOrig="6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55pt;height:32pt" filled="f" o:ole="">
            <v:imagedata r:id="rId9" o:title=""/>
          </v:shape>
          <o:OLEObject Type="Embed" ProgID="" ShapeID="ole_rId8" DrawAspect="Content" ObjectID="_1397855694" r:id="rId8"/>
        </w:object>
      </w:r>
    </w:p>
    <w:p>
      <w:pPr>
        <w:pStyle w:val="Normal"/>
        <w:jc w:val="both"/>
        <w:rPr>
          <w:sz w:val="24"/>
        </w:rPr>
      </w:pPr>
      <w:r>
        <w:rPr>
          <w:sz w:val="24"/>
        </w:rPr>
        <w:tab/>
        <w:tab/>
      </w:r>
      <w:r>
        <w:rPr/>
        <w:object w:dxaOrig="1720" w:dyaOrig="3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86pt;height:17pt" filled="f" o:ole="">
            <v:imagedata r:id="rId11" o:title=""/>
          </v:shape>
          <o:OLEObject Type="Embed" ProgID="" ShapeID="ole_rId10" DrawAspect="Content" ObjectID="_527141601" r:id="rId10"/>
        </w:object>
      </w:r>
    </w:p>
    <w:p>
      <w:pPr>
        <w:pStyle w:val="Normal"/>
        <w:jc w:val="both"/>
        <w:rPr>
          <w:sz w:val="24"/>
        </w:rPr>
      </w:pPr>
      <w:r>
        <w:rPr>
          <w:sz w:val="24"/>
        </w:rPr>
      </w:r>
    </w:p>
    <w:p>
      <w:pPr>
        <w:pStyle w:val="Normal"/>
        <w:jc w:val="both"/>
        <w:rPr>
          <w:sz w:val="24"/>
        </w:rPr>
      </w:pPr>
      <w:r>
        <w:rPr>
          <w:sz w:val="24"/>
        </w:rPr>
        <w:t>and F(t) is the forward price at time t.</w:t>
      </w:r>
    </w:p>
    <w:p>
      <w:pPr>
        <w:pStyle w:val="Normal"/>
        <w:jc w:val="both"/>
        <w:rPr>
          <w:sz w:val="24"/>
        </w:rPr>
      </w:pPr>
      <w:r>
        <w:rPr>
          <w:sz w:val="24"/>
        </w:rPr>
      </w:r>
    </w:p>
    <w:p>
      <w:pPr>
        <w:pStyle w:val="Normal"/>
        <w:jc w:val="both"/>
        <w:rPr>
          <w:b/>
          <w:sz w:val="24"/>
        </w:rPr>
      </w:pPr>
      <w:r>
        <w:rPr>
          <w:b/>
          <w:sz w:val="24"/>
        </w:rPr>
        <w:t>Pricing and hedging exotic options</w:t>
      </w:r>
    </w:p>
    <w:p>
      <w:pPr>
        <w:pStyle w:val="Normal"/>
        <w:jc w:val="both"/>
        <w:rPr>
          <w:b/>
          <w:sz w:val="24"/>
        </w:rPr>
      </w:pPr>
      <w:r>
        <w:rPr>
          <w:b/>
          <w:sz w:val="24"/>
        </w:rPr>
      </w:r>
    </w:p>
    <w:p>
      <w:pPr>
        <w:pStyle w:val="Normal"/>
        <w:jc w:val="both"/>
        <w:rPr>
          <w:sz w:val="24"/>
        </w:rPr>
      </w:pPr>
      <w:r>
        <w:rPr>
          <w:sz w:val="24"/>
        </w:rPr>
        <w:t xml:space="preserve">A natural question asked by a potential buyer or writer of exotic options is how to price such contracts and also, in the case of a seller, how to hedge them. In response, we shall offer a few general comments and give some specific examples for different types of exotics. </w:t>
      </w:r>
    </w:p>
    <w:p>
      <w:pPr>
        <w:pStyle w:val="Normal"/>
        <w:jc w:val="both"/>
        <w:rPr>
          <w:sz w:val="24"/>
        </w:rPr>
      </w:pPr>
      <w:r>
        <w:rPr>
          <w:sz w:val="24"/>
        </w:rPr>
      </w:r>
    </w:p>
    <w:p>
      <w:pPr>
        <w:pStyle w:val="Normal"/>
        <w:jc w:val="both"/>
        <w:rPr>
          <w:sz w:val="24"/>
        </w:rPr>
      </w:pPr>
      <w:r>
        <w:rPr>
          <w:sz w:val="24"/>
        </w:rPr>
        <w:tab/>
        <w:t>To price an exotic option, one should first attempt to replicate it with a package of standard options or simpler exotics. If this is possible, then each component option should be priced individually, and the sum of all the long and short positions will give the desired price. As a bid-offer spread for volatility is usually included in the option valuation, one should be careful not to artificially inflate the premium by including the volatility spread for each component option.</w:t>
      </w:r>
    </w:p>
    <w:p>
      <w:pPr>
        <w:pStyle w:val="Normal"/>
        <w:jc w:val="both"/>
        <w:rPr>
          <w:sz w:val="24"/>
        </w:rPr>
      </w:pPr>
      <w:r>
        <w:rPr>
          <w:sz w:val="24"/>
        </w:rPr>
      </w:r>
    </w:p>
    <w:p>
      <w:pPr>
        <w:pStyle w:val="Normal"/>
        <w:jc w:val="both"/>
        <w:rPr>
          <w:sz w:val="24"/>
        </w:rPr>
      </w:pPr>
      <w:r>
        <w:rPr>
          <w:sz w:val="24"/>
        </w:rPr>
        <w:tab/>
        <w:t xml:space="preserve">If the replication approach does not work, in some cases one may  find a closed-form expression for the option price that is comparable to the Black-Scholes formula. Such solutions are available for many exotic options. We shall discuss some of them here and give references for some others. Even if an exact closed-form solution cannot be found one may be able to find an approximation method which gives acceptable accuracy in pricing. </w:t>
      </w:r>
    </w:p>
    <w:p>
      <w:pPr>
        <w:pStyle w:val="Normal"/>
        <w:jc w:val="both"/>
        <w:rPr>
          <w:sz w:val="24"/>
        </w:rPr>
      </w:pPr>
      <w:r>
        <w:rPr>
          <w:sz w:val="24"/>
        </w:rPr>
      </w:r>
    </w:p>
    <w:p>
      <w:pPr>
        <w:pStyle w:val="Normal"/>
        <w:jc w:val="both"/>
        <w:rPr>
          <w:sz w:val="24"/>
        </w:rPr>
      </w:pPr>
      <w:r>
        <w:rPr>
          <w:sz w:val="24"/>
        </w:rPr>
        <w:tab/>
        <w:t>If neither a closed-form solution nor a good approximation method can be found it is necessary to use one of the numerical methods. The numerical methods used for option valuation fall into three categories: Monte Carlo (simulation) methods; tree (binomial or multinomial) methods; and finite difference or numerical integration methods. Hull (1993) discusses in detail the implementation of Monte Carlo, tree and finite difference methods for option valuation.</w:t>
      </w:r>
    </w:p>
    <w:p>
      <w:pPr>
        <w:pStyle w:val="Normal"/>
        <w:jc w:val="both"/>
        <w:rPr>
          <w:sz w:val="24"/>
        </w:rPr>
      </w:pPr>
      <w:r>
        <w:rPr>
          <w:sz w:val="24"/>
        </w:rPr>
      </w:r>
    </w:p>
    <w:p>
      <w:pPr>
        <w:pStyle w:val="Normal"/>
        <w:jc w:val="both"/>
        <w:rPr>
          <w:color w:val="0000FF"/>
          <w:sz w:val="24"/>
        </w:rPr>
      </w:pPr>
      <w:r>
        <w:rPr>
          <w:b/>
          <w:color w:val="0000FF"/>
          <w:sz w:val="24"/>
        </w:rPr>
        <w:t>Price Process Modelling</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Traditional option pricing theory is based on the assumption that the prices of the underlying instruments follow the geometric Brownian motion (GBM) process, defined in equation (1) as follows:</w:t>
      </w:r>
    </w:p>
    <w:p>
      <w:pPr>
        <w:pStyle w:val="Normal"/>
        <w:ind w:firstLine="720" w:end="0"/>
        <w:jc w:val="both"/>
        <w:rPr>
          <w:color w:val="0000FF"/>
          <w:sz w:val="24"/>
        </w:rPr>
      </w:pPr>
      <w:r>
        <w:rPr>
          <w:color w:val="0000FF"/>
          <w:sz w:val="24"/>
        </w:rPr>
      </w:r>
    </w:p>
    <w:p>
      <w:pPr>
        <w:pStyle w:val="Normal"/>
        <w:jc w:val="both"/>
        <w:rPr/>
      </w:pPr>
      <w:r>
        <w:rPr>
          <w:color w:val="0000FF"/>
          <w:sz w:val="24"/>
        </w:rPr>
        <w:tab/>
        <w:tab/>
        <w:tab/>
      </w:r>
      <w:r>
        <w:rPr>
          <w:color w:val="0000FF"/>
        </w:rPr>
      </w:r>
      <m:oMath xmlns:m="http://schemas.openxmlformats.org/officeDocument/2006/math">
        <m:sSub>
          <m:e>
            <m:r>
              <m:rPr>
                <m:lit/>
                <m:nor/>
              </m:rPr>
              <m:t xml:space="preserve">dF</m:t>
            </m:r>
          </m:e>
          <m:sub>
            <m:r>
              <m:t xml:space="preserve">X</m:t>
            </m:r>
          </m:sub>
        </m:sSub>
        <m:r>
          <m:t xml:space="preserve">=</m:t>
        </m:r>
        <m:sSub>
          <m:e>
            <m:r>
              <m:t xml:space="preserve">μ</m:t>
            </m:r>
          </m:e>
          <m:sub>
            <m:r>
              <m:t xml:space="preserve">X</m:t>
            </m:r>
          </m:sub>
        </m:sSub>
        <m:sSub>
          <m:e>
            <m:r>
              <m:t xml:space="preserve">F</m:t>
            </m:r>
          </m:e>
          <m:sub>
            <m:r>
              <m:t xml:space="preserve">X</m:t>
            </m:r>
          </m:sub>
        </m:sSub>
        <m:r>
          <m:rPr>
            <m:lit/>
            <m:nor/>
          </m:rPr>
          <m:t xml:space="preserve">dt</m:t>
        </m:r>
        <m:r>
          <m:t xml:space="preserve">+</m:t>
        </m:r>
        <m:sSub>
          <m:e>
            <m:r>
              <m:t xml:space="preserve">σ</m:t>
            </m:r>
          </m:e>
          <m:sub>
            <m:r>
              <m:t xml:space="preserve">X</m:t>
            </m:r>
          </m:sub>
        </m:sSub>
        <m:sSub>
          <m:e>
            <m:r>
              <m:t xml:space="preserve">F</m:t>
            </m:r>
          </m:e>
          <m:sub>
            <m:r>
              <m:t xml:space="preserve">X</m:t>
            </m:r>
          </m:sub>
        </m:sSub>
        <m:r>
          <m:rPr>
            <m:lit/>
            <m:nor/>
          </m:rPr>
          <m:t xml:space="preserve">dz</m:t>
        </m:r>
      </m:oMath>
      <w:r>
        <w:rPr>
          <w:color w:val="0000FF"/>
          <w:sz w:val="24"/>
        </w:rPr>
        <w:tab/>
        <w:tab/>
        <w:tab/>
        <w:tab/>
        <w:tab/>
        <w:t>(3)</w:t>
      </w:r>
    </w:p>
    <w:p>
      <w:pPr>
        <w:pStyle w:val="Normal"/>
        <w:tabs>
          <w:tab w:val="clear" w:pos="720"/>
          <w:tab w:val="left" w:pos="8280" w:leader="none"/>
        </w:tabs>
        <w:jc w:val="both"/>
        <w:rPr>
          <w:color w:val="0000FF"/>
          <w:sz w:val="24"/>
        </w:rPr>
      </w:pPr>
      <w:r>
        <w:rPr>
          <w:color w:val="0000FF"/>
          <w:sz w:val="24"/>
        </w:rPr>
      </w:r>
    </w:p>
    <w:p>
      <w:pPr>
        <w:pStyle w:val="Normal"/>
        <w:jc w:val="both"/>
        <w:rPr>
          <w:color w:val="0000FF"/>
          <w:sz w:val="24"/>
        </w:rPr>
      </w:pPr>
      <w:r>
        <w:rPr>
          <w:color w:val="0000FF"/>
          <w:sz w:val="24"/>
        </w:rPr>
        <w:t>This assumption implies that the natural logarithm of  the price at horizon, T-t years from now, follows a normal distribution with the  mean equal to</w:t>
      </w:r>
    </w:p>
    <w:p>
      <w:pPr>
        <w:pStyle w:val="Normal"/>
        <w:jc w:val="both"/>
        <w:rPr/>
      </w:pPr>
      <w:r>
        <w:rPr>
          <w:color w:val="0000FF"/>
          <w:sz w:val="24"/>
        </w:rPr>
        <w:tab/>
        <w:tab/>
        <w:tab/>
      </w:r>
      <w:r>
        <w:rPr>
          <w:color w:val="0000FF"/>
        </w:rPr>
      </w:r>
      <m:oMath xmlns:m="http://schemas.openxmlformats.org/officeDocument/2006/math">
        <m:r>
          <m:rPr>
            <m:lit/>
            <m:nor/>
          </m:rPr>
          <m:t xml:space="preserve">ln</m:t>
        </m:r>
        <m:r>
          <m:t xml:space="preserve">(</m:t>
        </m:r>
        <m:sSub>
          <m:e>
            <m:r>
              <m:t xml:space="preserve">F</m:t>
            </m:r>
          </m:e>
          <m:sub>
            <m:r>
              <m:t xml:space="preserve">X</m:t>
            </m:r>
          </m:sub>
        </m:sSub>
        <m:r>
          <m:t xml:space="preserve">(</m:t>
        </m:r>
        <m:r>
          <m:t xml:space="preserve">t</m:t>
        </m:r>
        <m:r>
          <m:t xml:space="preserve">)</m:t>
        </m:r>
        <m:r>
          <m:t xml:space="preserve">)</m:t>
        </m:r>
        <m:r>
          <m:t xml:space="preserve">+</m:t>
        </m:r>
        <m:r>
          <m:t xml:space="preserve">(</m:t>
        </m:r>
        <m:sSub>
          <m:e>
            <m:r>
              <m:t xml:space="preserve">μ</m:t>
            </m:r>
          </m:e>
          <m:sub>
            <m:r>
              <m:t xml:space="preserve">X</m:t>
            </m:r>
          </m:sub>
        </m:sSub>
        <m:r>
          <m:t xml:space="preserve">−</m:t>
        </m:r>
        <m:f>
          <m:num>
            <m:sSubSup>
              <m:e>
                <m:r>
                  <m:t xml:space="preserve">σ</m:t>
                </m:r>
              </m:e>
              <m:sub>
                <m:r>
                  <m:t xml:space="preserve">X</m:t>
                </m:r>
              </m:sub>
              <m:sup>
                <m:r>
                  <m:t xml:space="preserve">2</m:t>
                </m:r>
              </m:sup>
            </m:sSubSup>
          </m:num>
          <m:den>
            <m:r>
              <m:t xml:space="preserve">2</m:t>
            </m:r>
          </m:den>
        </m:f>
        <m:r>
          <m:t xml:space="preserve">)</m:t>
        </m:r>
        <m:r>
          <m:t xml:space="preserve">(</m:t>
        </m:r>
        <m:r>
          <m:t xml:space="preserve">T</m:t>
        </m:r>
        <m:r>
          <m:t xml:space="preserve">−</m:t>
        </m:r>
        <m:r>
          <m:t xml:space="preserve">t</m:t>
        </m:r>
        <m:r>
          <m:t xml:space="preserve">)</m:t>
        </m:r>
      </m:oMath>
      <w:r>
        <w:rPr>
          <w:color w:val="0000FF"/>
          <w:sz w:val="24"/>
        </w:rPr>
        <w:tab/>
        <w:tab/>
        <w:tab/>
        <w:tab/>
        <w:t>(4)</w:t>
      </w:r>
    </w:p>
    <w:p>
      <w:pPr>
        <w:pStyle w:val="Normal"/>
        <w:jc w:val="both"/>
        <w:rPr>
          <w:color w:val="0000FF"/>
          <w:sz w:val="24"/>
        </w:rPr>
      </w:pPr>
      <w:r>
        <w:rPr>
          <w:color w:val="0000FF"/>
          <w:sz w:val="24"/>
        </w:rPr>
        <w:t>and the standard deviation equal to:</w:t>
      </w:r>
    </w:p>
    <w:p>
      <w:pPr>
        <w:pStyle w:val="Normal"/>
        <w:jc w:val="both"/>
        <w:rPr>
          <w:color w:val="0000FF"/>
          <w:sz w:val="24"/>
        </w:rPr>
      </w:pPr>
      <w:r>
        <w:rPr>
          <w:color w:val="0000FF"/>
          <w:sz w:val="24"/>
        </w:rPr>
      </w:r>
    </w:p>
    <w:p>
      <w:pPr>
        <w:pStyle w:val="Normal"/>
        <w:jc w:val="both"/>
        <w:rPr/>
      </w:pPr>
      <w:r>
        <w:rPr>
          <w:color w:val="0000FF"/>
          <w:sz w:val="24"/>
        </w:rPr>
        <w:tab/>
        <w:tab/>
        <w:tab/>
      </w:r>
      <w:r>
        <w:rPr>
          <w:color w:val="0000FF"/>
        </w:rPr>
      </w:r>
      <m:oMath xmlns:m="http://schemas.openxmlformats.org/officeDocument/2006/math">
        <m:sSub>
          <m:e>
            <m:r>
              <m:t xml:space="preserve">s</m:t>
            </m:r>
          </m:e>
          <m:sub>
            <m:r>
              <m:t xml:space="preserve">X</m:t>
            </m:r>
          </m:sub>
        </m:sSub>
        <m:rad>
          <m:radPr>
            <m:degHide m:val="1"/>
          </m:radPr>
          <m:deg/>
          <m:e>
            <m:r>
              <m:t xml:space="preserve">T</m:t>
            </m:r>
            <m:r>
              <m:t xml:space="preserve">−</m:t>
            </m:r>
            <m:r>
              <m:t xml:space="preserve">t</m:t>
            </m:r>
          </m:e>
        </m:rad>
      </m:oMath>
      <w:r>
        <w:rPr>
          <w:color w:val="0000FF"/>
          <w:sz w:val="24"/>
        </w:rPr>
        <w:tab/>
        <w:tab/>
        <w:tab/>
        <w:tab/>
        <w:tab/>
        <w:tab/>
        <w:tab/>
        <w:t>(5)</w:t>
      </w:r>
    </w:p>
    <w:p>
      <w:pPr>
        <w:pStyle w:val="Normal"/>
        <w:jc w:val="both"/>
        <w:rPr>
          <w:color w:val="0000FF"/>
          <w:sz w:val="24"/>
        </w:rPr>
      </w:pPr>
      <w:r>
        <w:rPr>
          <w:color w:val="0000FF"/>
          <w:sz w:val="24"/>
        </w:rPr>
      </w:r>
    </w:p>
    <w:p>
      <w:pPr>
        <w:pStyle w:val="Normal"/>
        <w:jc w:val="both"/>
        <w:rPr/>
      </w:pPr>
      <w:r>
        <w:rPr>
          <w:color w:val="0000FF"/>
          <w:sz w:val="24"/>
        </w:rPr>
        <w:t xml:space="preserve">Note that </w:t>
      </w:r>
      <w:r>
        <w:rPr>
          <w:i/>
          <w:color w:val="0000FF"/>
          <w:sz w:val="24"/>
        </w:rPr>
        <w:t>t</w:t>
      </w:r>
      <w:r>
        <w:rPr>
          <w:color w:val="0000FF"/>
          <w:sz w:val="24"/>
        </w:rPr>
        <w:t xml:space="preserve"> is the starting time measured in years (typically t is assumed to be 0), and T is the ending date.</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This approach can be extended to jointly model  the dynamics of two or more  commodity prices. In the case of two commodities, X and Y, the assumption is that the price of Y follows the process given by:</w:t>
      </w:r>
    </w:p>
    <w:p>
      <w:pPr>
        <w:pStyle w:val="Normal"/>
        <w:jc w:val="both"/>
        <w:rPr>
          <w:color w:val="0000FF"/>
          <w:sz w:val="24"/>
        </w:rPr>
      </w:pPr>
      <w:r>
        <w:rPr>
          <w:color w:val="0000FF"/>
          <w:sz w:val="24"/>
        </w:rPr>
      </w:r>
    </w:p>
    <w:p>
      <w:pPr>
        <w:pStyle w:val="Normal"/>
        <w:jc w:val="both"/>
        <w:rPr/>
      </w:pPr>
      <w:r>
        <w:rPr>
          <w:color w:val="0000FF"/>
          <w:sz w:val="24"/>
        </w:rPr>
        <w:tab/>
        <w:tab/>
        <w:tab/>
        <w:tab/>
      </w:r>
      <w:r>
        <w:rPr>
          <w:color w:val="0000FF"/>
        </w:rPr>
      </w:r>
      <m:oMath xmlns:m="http://schemas.openxmlformats.org/officeDocument/2006/math">
        <m:sSub>
          <m:e>
            <m:r>
              <m:rPr>
                <m:lit/>
                <m:nor/>
              </m:rPr>
              <m:t xml:space="preserve">dF</m:t>
            </m:r>
          </m:e>
          <m:sub>
            <m:r>
              <m:t xml:space="preserve">Y</m:t>
            </m:r>
          </m:sub>
        </m:sSub>
        <m:r>
          <m:t xml:space="preserve">=</m:t>
        </m:r>
        <m:sSub>
          <m:e>
            <m:r>
              <m:t xml:space="preserve">μ</m:t>
            </m:r>
          </m:e>
          <m:sub>
            <m:r>
              <m:t xml:space="preserve">Y</m:t>
            </m:r>
          </m:sub>
        </m:sSub>
        <m:sSub>
          <m:e>
            <m:r>
              <m:t xml:space="preserve">F</m:t>
            </m:r>
          </m:e>
          <m:sub>
            <m:r>
              <m:t xml:space="preserve">Y</m:t>
            </m:r>
          </m:sub>
        </m:sSub>
        <m:r>
          <m:rPr>
            <m:lit/>
            <m:nor/>
          </m:rPr>
          <m:t xml:space="preserve">dt</m:t>
        </m:r>
        <m:r>
          <m:t xml:space="preserve">+</m:t>
        </m:r>
        <m:sSub>
          <m:e>
            <m:r>
              <m:t xml:space="preserve">σ</m:t>
            </m:r>
          </m:e>
          <m:sub>
            <m:r>
              <m:t xml:space="preserve">Y</m:t>
            </m:r>
          </m:sub>
        </m:sSub>
        <m:sSub>
          <m:e>
            <m:r>
              <m:t xml:space="preserve">F</m:t>
            </m:r>
          </m:e>
          <m:sub>
            <m:r>
              <m:t xml:space="preserve">Y</m:t>
            </m:r>
          </m:sub>
        </m:sSub>
        <m:r>
          <m:rPr>
            <m:lit/>
            <m:nor/>
          </m:rPr>
          <m:t xml:space="preserve">dw</m:t>
        </m:r>
      </m:oMath>
      <w:r>
        <w:rPr>
          <w:color w:val="0000FF"/>
          <w:sz w:val="24"/>
        </w:rPr>
        <w:tab/>
        <w:tab/>
        <w:tab/>
        <w:tab/>
        <w:t>(6)</w:t>
      </w:r>
    </w:p>
    <w:p>
      <w:pPr>
        <w:pStyle w:val="Normal"/>
        <w:jc w:val="both"/>
        <w:rPr>
          <w:color w:val="0000FF"/>
          <w:sz w:val="24"/>
        </w:rPr>
      </w:pPr>
      <w:r>
        <w:rPr>
          <w:color w:val="0000FF"/>
          <w:sz w:val="24"/>
        </w:rPr>
      </w:r>
    </w:p>
    <w:p>
      <w:pPr>
        <w:pStyle w:val="Normal"/>
        <w:jc w:val="both"/>
        <w:rPr/>
      </w:pPr>
      <w:r>
        <w:rPr>
          <w:color w:val="0000FF"/>
          <w:sz w:val="24"/>
        </w:rPr>
        <w:t xml:space="preserve">and the two Brownian motions </w:t>
      </w:r>
      <w:r>
        <w:rPr>
          <w:i/>
          <w:color w:val="0000FF"/>
          <w:sz w:val="24"/>
        </w:rPr>
        <w:t>dz</w:t>
      </w:r>
      <w:r>
        <w:rPr>
          <w:color w:val="0000FF"/>
          <w:sz w:val="24"/>
        </w:rPr>
        <w:t xml:space="preserve"> and </w:t>
      </w:r>
      <w:r>
        <w:rPr>
          <w:i/>
          <w:color w:val="0000FF"/>
          <w:sz w:val="24"/>
        </w:rPr>
        <w:t>dw</w:t>
      </w:r>
      <w:r>
        <w:rPr>
          <w:color w:val="0000FF"/>
          <w:sz w:val="24"/>
        </w:rPr>
        <w:t xml:space="preserve">  in the equations  (3)  and (6) are correlated (E{dzdw} =</w:t>
      </w:r>
      <w:r>
        <w:rPr>
          <w:rFonts w:eastAsia="Symbol" w:cs="Symbol" w:ascii="Symbol" w:hAnsi="Symbol"/>
          <w:color w:val="0000FF"/>
          <w:sz w:val="24"/>
        </w:rPr>
        <w:sym w:font="Symbol" w:char="f072"/>
      </w:r>
      <w:r>
        <w:rPr>
          <w:color w:val="0000FF"/>
          <w:sz w:val="24"/>
        </w:rPr>
        <w:t>dt, where E denotes the mathematical expectation operator).</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 xml:space="preserve">The prices described by the equations (3) or (6) are random variables. Their evolution is driven, among other factors, by the stochastic variables </w:t>
      </w:r>
      <w:r>
        <w:rPr>
          <w:i/>
          <w:color w:val="0000FF"/>
          <w:sz w:val="24"/>
        </w:rPr>
        <w:t>dz</w:t>
      </w:r>
      <w:r>
        <w:rPr>
          <w:color w:val="0000FF"/>
          <w:sz w:val="24"/>
        </w:rPr>
        <w:t xml:space="preserve"> and </w:t>
      </w:r>
      <w:r>
        <w:rPr>
          <w:i/>
          <w:color w:val="0000FF"/>
          <w:sz w:val="24"/>
        </w:rPr>
        <w:t>dw</w:t>
      </w:r>
      <w:r>
        <w:rPr>
          <w:color w:val="0000FF"/>
          <w:sz w:val="24"/>
        </w:rPr>
        <w:t>. One implication of the assumption of the GBM process is the continuity of the line representing the sample trajectory of the price over time. The line could be drawn,  in principle, without removing the pencil from the sheet of paper.</w:t>
      </w:r>
      <w:r>
        <w:rPr>
          <w:rStyle w:val="EndnoteCharacters"/>
          <w:color w:val="0000FF"/>
          <w:sz w:val="24"/>
        </w:rPr>
        <w:t xml:space="preserve"> </w:t>
      </w:r>
    </w:p>
    <w:p>
      <w:pPr>
        <w:pStyle w:val="Normal"/>
        <w:jc w:val="both"/>
        <w:rPr>
          <w:color w:val="0000FF"/>
          <w:sz w:val="24"/>
        </w:rPr>
      </w:pPr>
      <w:r>
        <w:rPr>
          <w:color w:val="0000FF"/>
          <w:sz w:val="24"/>
        </w:rPr>
        <w:tab/>
        <w:tab/>
        <w:tab/>
        <w:tab/>
        <w:tab/>
        <w:tab/>
        <w:tab/>
        <w:tab/>
        <w:tab/>
        <w:tab/>
      </w:r>
    </w:p>
    <w:p>
      <w:pPr>
        <w:pStyle w:val="Normal"/>
        <w:ind w:firstLine="720" w:end="0"/>
        <w:jc w:val="both"/>
        <w:rPr>
          <w:sz w:val="24"/>
        </w:rPr>
      </w:pPr>
      <w:r>
        <w:rPr>
          <w:color w:val="0000FF"/>
          <w:sz w:val="24"/>
        </w:rPr>
        <w:t>The assumption of geometric Brownian motion as the process that describes the dynamics of the prices of financial instruments is an approximation of the behaviour observed in real markets and has to be treated as a stylised fact. As a matter of fact, there is growing evidence that the behaviour of market prices did not conform in many past time periods to this standard assumption of financial economics. One especially troubling observation is that the empirical frequency of the occurrence of extreme outcomes is larger than the probability implied by theoretical models. This issue will be revisited below.</w:t>
      </w:r>
    </w:p>
    <w:p>
      <w:pPr>
        <w:pStyle w:val="Normal"/>
        <w:jc w:val="both"/>
        <w:rPr>
          <w:sz w:val="24"/>
        </w:rPr>
      </w:pPr>
      <w:r>
        <w:rPr>
          <w:sz w:val="24"/>
        </w:rPr>
      </w:r>
    </w:p>
    <w:p>
      <w:pPr>
        <w:pStyle w:val="BodyText"/>
        <w:ind w:firstLine="360" w:end="0"/>
        <w:jc w:val="both"/>
        <w:rPr>
          <w:rFonts w:ascii="Times New Roman" w:hAnsi="Times New Roman" w:cs="Times New Roman"/>
          <w:sz w:val="24"/>
        </w:rPr>
      </w:pPr>
      <w:r>
        <w:rPr>
          <w:rFonts w:cs="Times New Roman" w:ascii="Times New Roman" w:hAnsi="Times New Roman"/>
          <w:sz w:val="24"/>
        </w:rPr>
        <w:t>The assumption of GBM strikes anyone with practical experience in commodity trading as an unrealistic description of the observed behaviour of commodity prices. This was recognised by a growing number of academics and practitioners who devoted a lot of attention to developing more realistic models of energy commodity price behaviour. What follows is a brief review of most important issues that have been overlooked in early modelling efforts and have been fully addressed only in recent research. One should note that energy commodities are not created equal and many observations made below apply only to some subsets of their entire universe.</w:t>
      </w:r>
    </w:p>
    <w:p>
      <w:pPr>
        <w:pStyle w:val="BodyText"/>
        <w:jc w:val="both"/>
        <w:rPr>
          <w:rFonts w:ascii="Times New Roman" w:hAnsi="Times New Roman" w:cs="Times New Roman"/>
          <w:sz w:val="24"/>
        </w:rPr>
      </w:pPr>
      <w:r>
        <w:rPr>
          <w:rFonts w:cs="Times New Roman" w:ascii="Times New Roman" w:hAnsi="Times New Roman"/>
          <w:sz w:val="24"/>
        </w:rPr>
      </w:r>
    </w:p>
    <w:p>
      <w:pPr>
        <w:pStyle w:val="BodyText"/>
        <w:numPr>
          <w:ilvl w:val="0"/>
          <w:numId w:val="4"/>
        </w:numPr>
        <w:tabs>
          <w:tab w:val="clear" w:pos="720"/>
          <w:tab w:val="left" w:pos="360" w:leader="none"/>
        </w:tabs>
        <w:jc w:val="both"/>
        <w:rPr>
          <w:rFonts w:ascii="Times New Roman" w:hAnsi="Times New Roman" w:cs="Times New Roman"/>
          <w:color w:val="FF00FF"/>
          <w:sz w:val="24"/>
        </w:rPr>
      </w:pPr>
      <w:r>
        <w:rPr>
          <w:rFonts w:cs="Times New Roman" w:ascii="Times New Roman" w:hAnsi="Times New Roman"/>
          <w:sz w:val="24"/>
        </w:rPr>
        <w:t xml:space="preserve">Investment assets vs. consumption goods. The most obvious observation is that energy commodities cannot be treated as purely financial assets, treated by owners as an investment. The energy commodities are inputs to production processes and/or consumption goods and this explains why many models based on a mechanical extension of the approach developed for financial markets may break down in the case of energy related contingent claims. For example. Geometric Brownian motion (GBM) does not allow negative prices. This assumption may be violated in practice often enough to require attention, especially in the case of electricity.  In some cases, prices of electricity bid into a power pool may drop to zero if some generators want to guarantee that their plants are dispatched for contiguous blocks of time, longer than a single time slot for which separate bids are accepted. In some cases, the price may become negative, as power plants have to get rid of excess output and have no option to store electricity. In other words, an assumption of free disposal, customarily made in theoretical models, does not hold. </w:t>
      </w:r>
      <w:r>
        <w:rPr>
          <w:rFonts w:cs="Times New Roman" w:ascii="Times New Roman" w:hAnsi="Times New Roman"/>
          <w:color w:val="FF00FF"/>
          <w:sz w:val="24"/>
        </w:rPr>
        <w:t>This problem has been addressed by some recently published papers (see Routledge, Seppi, Spatt  (1999)).</w:t>
      </w:r>
    </w:p>
    <w:p>
      <w:pPr>
        <w:pStyle w:val="BodyText"/>
        <w:numPr>
          <w:ilvl w:val="0"/>
          <w:numId w:val="0"/>
        </w:numPr>
        <w:ind w:hanging="0" w:start="0"/>
        <w:jc w:val="both"/>
        <w:rPr>
          <w:rFonts w:ascii="Times New Roman" w:hAnsi="Times New Roman" w:cs="Times New Roman"/>
          <w:color w:val="FF00FF"/>
          <w:sz w:val="24"/>
        </w:rPr>
      </w:pPr>
      <w:r>
        <w:rPr>
          <w:rFonts w:cs="Times New Roman" w:ascii="Times New Roman" w:hAnsi="Times New Roman"/>
          <w:color w:val="FF00FF"/>
          <w:sz w:val="24"/>
        </w:rPr>
      </w:r>
    </w:p>
    <w:p>
      <w:pPr>
        <w:pStyle w:val="BodyText"/>
        <w:numPr>
          <w:ilvl w:val="0"/>
          <w:numId w:val="4"/>
        </w:numPr>
        <w:tabs>
          <w:tab w:val="clear" w:pos="720"/>
          <w:tab w:val="left" w:pos="360" w:leader="none"/>
        </w:tabs>
        <w:jc w:val="both"/>
        <w:rPr>
          <w:rFonts w:ascii="Times New Roman" w:hAnsi="Times New Roman" w:cs="Times New Roman"/>
          <w:sz w:val="24"/>
        </w:rPr>
      </w:pPr>
      <w:r>
        <w:rPr>
          <w:rFonts w:cs="Times New Roman" w:ascii="Times New Roman" w:hAnsi="Times New Roman"/>
          <w:sz w:val="24"/>
        </w:rPr>
        <w:t xml:space="preserve">Prices of energy commodities display seasonality. By this we mean recurring regularities in price levels and/or price volatility observed over time. Seasonality may correspond to the time of the year (winter vs. summer vs. shoulder month), or may be observed in intramonth, intraweek, and in some markets (like power) intraday prices. Seasonality results primarily from regular demand fluctuations, driven in most cases, by recurring weather related factors. Fluctuations in demand interact  with the supply side factors: increased demand can be satisfied only from more expensive sources or by using more expensive production units. In many cases, increased demand resulting from weather related factors might reach the levels at which supply becomes constrained by the capacity of the existing transportation or the transmission grid. In many markets, seasonality may change over time due to the changes in economic conditions and technology. For example, many natural gas marketers expect a change in seasonal price patterns in the US natural gas markets starting in year 2000, due to increases in the gas-fired  generation capacity. It is expected that in addition to the winter peak, one will observe a more pronounced July/August peak, related to air conditioning load. </w:t>
      </w:r>
    </w:p>
    <w:p>
      <w:pPr>
        <w:pStyle w:val="BodyText"/>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firstLine="360" w:start="360" w:end="0"/>
        <w:jc w:val="both"/>
        <w:rPr>
          <w:rFonts w:ascii="Times New Roman" w:hAnsi="Times New Roman" w:cs="Times New Roman"/>
          <w:sz w:val="24"/>
        </w:rPr>
      </w:pPr>
      <w:r>
        <w:rPr>
          <w:rFonts w:cs="Times New Roman" w:ascii="Times New Roman" w:hAnsi="Times New Roman"/>
          <w:sz w:val="24"/>
        </w:rPr>
        <w:t>Recognition of the existing and possibly changing patterns of seasonality creates need for forward looking modeling. The information about future seasonality is often derived in formal models from the futures/forward prices that summarize all the information available to the market about future demand and supply patterns. Some recent papers offer ingenious methods of calibrating prices to forward price curves.</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4"/>
        </w:numPr>
        <w:tabs>
          <w:tab w:val="clear" w:pos="720"/>
          <w:tab w:val="left" w:pos="360" w:leader="none"/>
        </w:tabs>
        <w:jc w:val="both"/>
        <w:rPr>
          <w:rFonts w:ascii="Times New Roman" w:hAnsi="Times New Roman" w:cs="Times New Roman"/>
          <w:sz w:val="24"/>
        </w:rPr>
      </w:pPr>
      <w:r>
        <w:rPr>
          <w:rFonts w:cs="Times New Roman" w:ascii="Times New Roman" w:hAnsi="Times New Roman"/>
          <w:sz w:val="24"/>
        </w:rPr>
        <w:t>Commodity prices often display what’s known as gapping or jump behavior. This is driven in many cases by fluctuations in demand and low elasticity of supply, reflecting rigidities in the transportation and transmission system and limited inventories. One stochastic process used in financial economics to describe such a price evolution is known as the jump-diffusion process. The equation for the jump-diffusion process consists of two parts. The first part is the diffusion component, described by the equation (1). The other is an additional component which represents the Poisson process:</w:t>
      </w:r>
    </w:p>
    <w:p>
      <w:pPr>
        <w:pStyle w:val="BodyText"/>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firstLine="720" w:start="1440" w:end="0"/>
        <w:jc w:val="both"/>
        <w:rPr/>
      </w:pPr>
      <w:r>
        <w:rPr>
          <w:rFonts w:cs="Times New Roman" w:ascii="Times New Roman" w:hAnsi="Times New Roman"/>
        </w:rPr>
      </w:r>
      <m:oMath xmlns:m="http://schemas.openxmlformats.org/officeDocument/2006/math">
        <m:sSub>
          <m:e>
            <m:r>
              <m:rPr>
                <m:lit/>
                <m:nor/>
              </m:rPr>
              <m:t xml:space="preserve">dF</m:t>
            </m:r>
          </m:e>
          <m:sub>
            <m:r>
              <m:t xml:space="preserve">X</m:t>
            </m:r>
          </m:sub>
        </m:sSub>
        <m:r>
          <m:t xml:space="preserve">=</m:t>
        </m:r>
        <m:sSub>
          <m:e>
            <m:r>
              <m:t xml:space="preserve">μ</m:t>
            </m:r>
          </m:e>
          <m:sub>
            <m:r>
              <m:t xml:space="preserve">X</m:t>
            </m:r>
          </m:sub>
        </m:sSub>
        <m:sSub>
          <m:e>
            <m:r>
              <m:t xml:space="preserve">F</m:t>
            </m:r>
          </m:e>
          <m:sub>
            <m:r>
              <m:t xml:space="preserve">X</m:t>
            </m:r>
          </m:sub>
        </m:sSub>
        <m:r>
          <m:rPr>
            <m:lit/>
            <m:nor/>
          </m:rPr>
          <m:t xml:space="preserve">dt</m:t>
        </m:r>
        <m:r>
          <m:t xml:space="preserve">+</m:t>
        </m:r>
        <m:sSub>
          <m:e>
            <m:r>
              <m:t xml:space="preserve">σ</m:t>
            </m:r>
          </m:e>
          <m:sub>
            <m:r>
              <m:t xml:space="preserve">X</m:t>
            </m:r>
          </m:sub>
        </m:sSub>
        <m:sSub>
          <m:e>
            <m:r>
              <m:t xml:space="preserve">F</m:t>
            </m:r>
          </m:e>
          <m:sub>
            <m:r>
              <m:t xml:space="preserve">X</m:t>
            </m:r>
          </m:sub>
        </m:sSub>
        <m:r>
          <m:rPr>
            <m:lit/>
            <m:nor/>
          </m:rPr>
          <m:t xml:space="preserve">dz</m:t>
        </m:r>
        <m:r>
          <m:t xml:space="preserve">+</m:t>
        </m:r>
        <m:r>
          <m:t xml:space="preserve">(</m:t>
        </m:r>
        <m:r>
          <m:t xml:space="preserve">J</m:t>
        </m:r>
        <m:r>
          <m:t xml:space="preserve">−</m:t>
        </m:r>
        <m:r>
          <m:t xml:space="preserve">1</m:t>
        </m:r>
        <m:r>
          <m:t xml:space="preserve">)</m:t>
        </m:r>
        <m:sSub>
          <m:e>
            <m:r>
              <m:t xml:space="preserve">F</m:t>
            </m:r>
          </m:e>
          <m:sub>
            <m:r>
              <m:t xml:space="preserve">X</m:t>
            </m:r>
          </m:sub>
        </m:sSub>
        <m:r>
          <m:rPr>
            <m:lit/>
            <m:nor/>
          </m:rPr>
          <m:t xml:space="preserve">dq</m:t>
        </m:r>
      </m:oMath>
      <w:r>
        <w:rPr>
          <w:rFonts w:cs="Times New Roman" w:ascii="Times New Roman" w:hAnsi="Times New Roman"/>
          <w:sz w:val="24"/>
        </w:rPr>
        <w:tab/>
        <w:tab/>
        <w:tab/>
        <w:t>(7)</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hanging="0" w:start="360" w:end="0"/>
        <w:jc w:val="both"/>
        <w:rPr/>
      </w:pPr>
      <w:r>
        <w:rPr>
          <w:rFonts w:cs="Times New Roman" w:ascii="Times New Roman" w:hAnsi="Times New Roman"/>
          <w:sz w:val="24"/>
        </w:rPr>
        <w:t xml:space="preserve">The random variable </w:t>
      </w:r>
      <w:r>
        <w:rPr>
          <w:rFonts w:cs="Times New Roman" w:ascii="Times New Roman" w:hAnsi="Times New Roman"/>
          <w:i/>
          <w:sz w:val="24"/>
        </w:rPr>
        <w:t>dq</w:t>
      </w:r>
      <w:r>
        <w:rPr>
          <w:rFonts w:cs="Times New Roman" w:ascii="Times New Roman" w:hAnsi="Times New Roman"/>
          <w:sz w:val="24"/>
        </w:rPr>
        <w:t xml:space="preserve"> is the Poisson process; it tells whether the jump took place or not.  The probability of the jump will be denoted by </w:t>
      </w:r>
      <w:r>
        <w:rPr>
          <w:rFonts w:eastAsia="Symbol" w:cs="Symbol" w:ascii="Symbol" w:hAnsi="Symbol"/>
          <w:sz w:val="24"/>
        </w:rPr>
        <w:sym w:font="Symbol" w:char="f06c"/>
      </w:r>
      <w:r>
        <w:rPr>
          <w:rFonts w:cs="Times New Roman" w:ascii="Times New Roman" w:hAnsi="Times New Roman"/>
          <w:sz w:val="24"/>
        </w:rPr>
        <w:t xml:space="preserve">dt, where </w:t>
      </w:r>
      <w:r>
        <w:rPr>
          <w:rFonts w:eastAsia="Symbol" w:cs="Symbol" w:ascii="Symbol" w:hAnsi="Symbol"/>
          <w:sz w:val="24"/>
        </w:rPr>
        <w:sym w:font="Symbol" w:char="f06c"/>
      </w:r>
      <w:r>
        <w:rPr>
          <w:rFonts w:cs="Times New Roman" w:ascii="Times New Roman" w:hAnsi="Times New Roman"/>
          <w:sz w:val="24"/>
        </w:rPr>
        <w:t xml:space="preserve"> is called the intensity or rate of the process.  In more technical language, the probability that the jump occurs once in the time period of length dt (that is, the probability that dq = 1, for this time increment), is given by:</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firstLine="360" w:start="3240" w:end="0"/>
        <w:jc w:val="both"/>
        <w:rPr/>
      </w:pPr>
      <w:r>
        <w:rPr>
          <w:rFonts w:eastAsia="Symbol" w:cs="Symbol" w:ascii="Symbol" w:hAnsi="Symbol"/>
          <w:sz w:val="24"/>
        </w:rPr>
        <w:sym w:font="Symbol" w:char="f06c"/>
      </w:r>
      <w:r>
        <w:rPr>
          <w:rFonts w:cs="Times New Roman" w:ascii="Times New Roman" w:hAnsi="Times New Roman"/>
          <w:sz w:val="24"/>
        </w:rPr>
        <w:t>dt  + o(dt)</w:t>
        <w:tab/>
        <w:tab/>
        <w:tab/>
        <w:tab/>
        <w:tab/>
        <w:t>(8)</w:t>
      </w:r>
    </w:p>
    <w:p>
      <w:pPr>
        <w:pStyle w:val="BodyText"/>
        <w:numPr>
          <w:ilvl w:val="0"/>
          <w:numId w:val="0"/>
        </w:numPr>
        <w:ind w:firstLine="360" w:start="324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hanging="0" w:start="360" w:end="0"/>
        <w:jc w:val="both"/>
        <w:rPr/>
      </w:pPr>
      <w:r>
        <w:rPr>
          <w:rFonts w:cs="Times New Roman" w:ascii="Times New Roman" w:hAnsi="Times New Roman"/>
          <w:sz w:val="24"/>
        </w:rPr>
        <w:t xml:space="preserve">where o(dt)  is such that </w:t>
      </w:r>
      <w:r>
        <w:rPr>
          <w:rFonts w:cs="Times New Roman" w:ascii="Times New Roman" w:hAnsi="Times New Roman"/>
        </w:rPr>
      </w:r>
      <m:oMath xmlns:m="http://schemas.openxmlformats.org/officeDocument/2006/math">
        <m:sSub>
          <m:e>
            <m:r>
              <m:rPr>
                <m:lit/>
                <m:nor/>
              </m:rPr>
              <m:t xml:space="preserve">lim</m:t>
            </m:r>
          </m:e>
          <m:sub>
            <m:r>
              <m:rPr>
                <m:lit/>
                <m:nor/>
              </m:rPr>
              <m:t xml:space="preserve">dt</m:t>
            </m:r>
            <m:r>
              <m:t xml:space="preserve">→</m:t>
            </m:r>
            <m:r>
              <m:t xml:space="preserve">0</m:t>
            </m:r>
          </m:sub>
        </m:sSub>
        <m:f>
          <m:num>
            <m:r>
              <m:t xml:space="preserve">o</m:t>
            </m:r>
            <m:r>
              <m:t xml:space="preserve">(</m:t>
            </m:r>
            <m:r>
              <m:rPr>
                <m:lit/>
                <m:nor/>
              </m:rPr>
              <m:t xml:space="preserve">dt</m:t>
            </m:r>
            <m:r>
              <m:t xml:space="preserve">)</m:t>
            </m:r>
          </m:num>
          <m:den>
            <m:r>
              <m:rPr>
                <m:lit/>
                <m:nor/>
              </m:rPr>
              <m:t xml:space="preserve">dt</m:t>
            </m:r>
          </m:den>
        </m:f>
        <m:r>
          <m:t xml:space="preserve">=</m:t>
        </m:r>
        <m:r>
          <m:t xml:space="preserve">0</m:t>
        </m:r>
      </m:oMath>
      <w:r>
        <w:rPr>
          <w:rFonts w:cs="Times New Roman" w:ascii="Times New Roman" w:hAnsi="Times New Roman"/>
          <w:sz w:val="24"/>
        </w:rPr>
        <w:t>. The probability of no jump (dq = 0) is given by:</w:t>
      </w:r>
    </w:p>
    <w:p>
      <w:pPr>
        <w:pStyle w:val="BodyText"/>
        <w:numPr>
          <w:ilvl w:val="0"/>
          <w:numId w:val="0"/>
        </w:numPr>
        <w:ind w:firstLine="360" w:start="2520" w:end="0"/>
        <w:jc w:val="both"/>
        <w:rPr/>
      </w:pPr>
      <w:r>
        <w:rPr>
          <w:rFonts w:cs="Times New Roman" w:ascii="Times New Roman" w:hAnsi="Times New Roman"/>
          <w:sz w:val="24"/>
        </w:rPr>
        <w:tab/>
        <w:t>1-</w:t>
      </w:r>
      <w:r>
        <w:rPr>
          <w:rFonts w:eastAsia="Symbol" w:cs="Symbol" w:ascii="Symbol" w:hAnsi="Symbol"/>
          <w:sz w:val="24"/>
        </w:rPr>
        <w:sym w:font="Symbol" w:char="f06c"/>
      </w:r>
      <w:r>
        <w:rPr>
          <w:rFonts w:cs="Times New Roman" w:ascii="Times New Roman" w:hAnsi="Times New Roman"/>
          <w:sz w:val="24"/>
        </w:rPr>
        <w:t>dt  + o(dt)</w:t>
        <w:tab/>
        <w:tab/>
        <w:tab/>
        <w:tab/>
        <w:tab/>
        <w:t>(9)</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hanging="0" w:start="360" w:end="0"/>
        <w:jc w:val="both"/>
        <w:rPr/>
      </w:pPr>
      <w:r>
        <w:rPr>
          <w:rFonts w:cs="Times New Roman" w:ascii="Times New Roman" w:hAnsi="Times New Roman"/>
          <w:sz w:val="24"/>
        </w:rPr>
        <w:t xml:space="preserve">and the probability of more than one jump in the time period dt is o(dt).The size and the direction of the jump is described  by the variable J, which is typically assumed to have a lognormal distribution. This means that the natural logarithm of the jumps follows a normal distribution with parameters which we shall denote by </w:t>
      </w:r>
      <w:r>
        <w:rPr>
          <w:rFonts w:eastAsia="Symbol" w:cs="Symbol" w:ascii="Symbol" w:hAnsi="Symbol"/>
          <w:sz w:val="24"/>
        </w:rPr>
        <w:sym w:font="Symbol" w:char="f061"/>
      </w:r>
      <w:r>
        <w:rPr>
          <w:rFonts w:cs="Times New Roman" w:ascii="Times New Roman" w:hAnsi="Times New Roman"/>
          <w:sz w:val="24"/>
        </w:rPr>
        <w:t xml:space="preserve"> and </w:t>
      </w:r>
      <w:r>
        <w:rPr>
          <w:rFonts w:eastAsia="Symbol" w:cs="Symbol" w:ascii="Symbol" w:hAnsi="Symbol"/>
          <w:sz w:val="24"/>
        </w:rPr>
        <w:sym w:font="Symbol" w:char="f064"/>
      </w:r>
      <w:r>
        <w:rPr>
          <w:rFonts w:cs="Times New Roman" w:ascii="Times New Roman" w:hAnsi="Times New Roman"/>
          <w:sz w:val="24"/>
        </w:rPr>
        <w:t xml:space="preserve"> </w:t>
      </w:r>
      <w:r>
        <w:rPr>
          <w:rFonts w:cs="Times New Roman" w:ascii="Times New Roman" w:hAnsi="Times New Roman"/>
        </w:rPr>
      </w:r>
      <m:oMath xmlns:m="http://schemas.openxmlformats.org/officeDocument/2006/math">
        <m:r>
          <m:t xml:space="preserve">(</m:t>
        </m:r>
        <m:r>
          <m:rPr>
            <m:lit/>
            <m:nor/>
          </m:rPr>
          <m:t xml:space="preserve">ln</m:t>
        </m:r>
        <m:r>
          <m:t xml:space="preserve">(</m:t>
        </m:r>
        <m:r>
          <m:t xml:space="preserve">J</m:t>
        </m:r>
        <m:r>
          <m:t xml:space="preserve">)</m:t>
        </m:r>
        <m:r>
          <m:rPr>
            <m:lit/>
            <m:nor/>
          </m:rPr>
          <m:t xml:space="preserve">~</m:t>
        </m:r>
        <m:r>
          <m:t xml:space="preserve">N</m:t>
        </m:r>
        <m:r>
          <m:t xml:space="preserve">(</m:t>
        </m:r>
        <m:r>
          <m:t xml:space="preserve">α</m:t>
        </m:r>
        <m:r>
          <m:t xml:space="preserve">,</m:t>
        </m:r>
        <m:sSup>
          <m:e>
            <m:r>
              <m:t xml:space="preserve">d</m:t>
            </m:r>
          </m:e>
          <m:sup>
            <m:r>
              <m:t xml:space="preserve">2</m:t>
            </m:r>
          </m:sup>
        </m:sSup>
        <m:r>
          <m:t xml:space="preserve">)</m:t>
        </m:r>
        <m:r>
          <m:t xml:space="preserve">)</m:t>
        </m:r>
      </m:oMath>
      <w:r>
        <w:rPr>
          <w:rFonts w:cs="Times New Roman" w:ascii="Times New Roman" w:hAnsi="Times New Roman"/>
          <w:sz w:val="24"/>
        </w:rPr>
        <w:t xml:space="preserve">. When a jump occurs with probability </w:t>
      </w:r>
      <w:r>
        <w:rPr>
          <w:rFonts w:eastAsia="Symbol" w:cs="Symbol" w:ascii="Symbol" w:hAnsi="Symbol"/>
          <w:sz w:val="24"/>
        </w:rPr>
        <w:sym w:font="Symbol" w:char="f06c"/>
      </w:r>
      <w:r>
        <w:rPr>
          <w:rFonts w:cs="Times New Roman" w:ascii="Times New Roman" w:hAnsi="Times New Roman"/>
          <w:sz w:val="24"/>
        </w:rPr>
        <w:t xml:space="preserve">dt (dq = 1), the price moves from the level </w:t>
      </w:r>
      <w:r>
        <w:rPr>
          <w:rFonts w:cs="Times New Roman" w:ascii="Times New Roman" w:hAnsi="Times New Roman"/>
          <w:i/>
          <w:sz w:val="24"/>
        </w:rPr>
        <w:t>S</w:t>
      </w:r>
      <w:r>
        <w:rPr>
          <w:rFonts w:cs="Times New Roman" w:ascii="Times New Roman" w:hAnsi="Times New Roman"/>
          <w:sz w:val="24"/>
        </w:rPr>
        <w:t xml:space="preserve"> to the level </w:t>
      </w:r>
      <w:r>
        <w:rPr>
          <w:rFonts w:cs="Times New Roman" w:ascii="Times New Roman" w:hAnsi="Times New Roman"/>
          <w:i/>
          <w:sz w:val="24"/>
        </w:rPr>
        <w:t>SJ</w:t>
      </w:r>
      <w:r>
        <w:rPr>
          <w:rFonts w:cs="Times New Roman" w:ascii="Times New Roman" w:hAnsi="Times New Roman"/>
          <w:sz w:val="24"/>
        </w:rPr>
        <w:t xml:space="preserve">. </w:t>
      </w:r>
      <w:r>
        <w:rPr>
          <w:rFonts w:cs="Times New Roman" w:ascii="Times New Roman" w:hAnsi="Times New Roman"/>
          <w:i/>
          <w:sz w:val="24"/>
        </w:rPr>
        <w:t>J,</w:t>
      </w:r>
      <w:r>
        <w:rPr>
          <w:rFonts w:cs="Times New Roman" w:ascii="Times New Roman" w:hAnsi="Times New Roman"/>
          <w:sz w:val="24"/>
        </w:rPr>
        <w:t xml:space="preserve"> as a lognormal variable, is always positive. If it is greater than one, the jump is to the upside, and when it is smaller than one, the jump is to the downside. </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4"/>
        </w:numPr>
        <w:tabs>
          <w:tab w:val="clear" w:pos="720"/>
          <w:tab w:val="left" w:pos="360" w:leader="none"/>
        </w:tabs>
        <w:jc w:val="both"/>
        <w:rPr>
          <w:rFonts w:ascii="Times New Roman" w:hAnsi="Times New Roman" w:cs="Times New Roman"/>
          <w:sz w:val="24"/>
        </w:rPr>
      </w:pPr>
      <w:r>
        <w:rPr>
          <w:rFonts w:cs="Times New Roman" w:ascii="Times New Roman" w:hAnsi="Times New Roman"/>
          <w:sz w:val="24"/>
        </w:rPr>
        <w:t xml:space="preserve">Prices gravitate to the cost of production. The assumption of GBM used in simulation allows prices to wander into unrealistic levels. The same approach used in the modeling two  related commodities, like natural gas and power, or peak and off-peak electricity prices, may produce unrealistic spreads between them. The departures from the cost of production, or “normal” price spreads is possible in the short run, under abnormal market conditions, but in the long-term, the supply will be adjusted and the prices will move to the level dictated by the cost of production. </w:t>
      </w:r>
    </w:p>
    <w:p>
      <w:pPr>
        <w:pStyle w:val="BodyText"/>
        <w:numPr>
          <w:ilvl w:val="0"/>
          <w:numId w:val="0"/>
        </w:numPr>
        <w:ind w:hanging="0" w:start="0"/>
        <w:jc w:val="both"/>
        <w:rPr>
          <w:rFonts w:ascii="Times New Roman" w:hAnsi="Times New Roman" w:cs="Times New Roman"/>
          <w:sz w:val="24"/>
        </w:rPr>
      </w:pPr>
      <w:r>
        <w:rPr>
          <w:rFonts w:cs="Times New Roman" w:ascii="Times New Roman" w:hAnsi="Times New Roman"/>
          <w:sz w:val="24"/>
        </w:rPr>
        <w:t xml:space="preserve"> </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t>One approach used to capture the mean-reverting behavior of energy prices is known as the Ornstein-Uhlenbeck process (OU). Typical formulation assumes that there is a level, c, to which prices will revert whenever they diverge from it, in result of random shocks:</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hanging="0" w:start="360" w:end="0"/>
        <w:jc w:val="both"/>
        <w:rPr/>
      </w:pPr>
      <w:r>
        <w:rPr>
          <w:rFonts w:cs="Times New Roman" w:ascii="Times New Roman" w:hAnsi="Times New Roman"/>
          <w:sz w:val="24"/>
        </w:rPr>
        <w:tab/>
        <w:tab/>
        <w:tab/>
        <w:t xml:space="preserve">dF = </w:t>
        <w:tab/>
        <w:t xml:space="preserve"> </w:t>
      </w:r>
      <w:r>
        <w:rPr>
          <w:rFonts w:eastAsia="Symbol" w:cs="Symbol" w:ascii="Symbol" w:hAnsi="Symbol"/>
          <w:sz w:val="24"/>
        </w:rPr>
        <w:sym w:font="Symbol" w:char="f06b"/>
      </w:r>
      <w:r>
        <w:rPr>
          <w:rFonts w:cs="Times New Roman" w:ascii="Times New Roman" w:hAnsi="Times New Roman"/>
          <w:sz w:val="24"/>
        </w:rPr>
        <w:t xml:space="preserve">(c - F)dt + </w:t>
      </w:r>
      <w:r>
        <w:rPr>
          <w:rFonts w:eastAsia="Symbol" w:cs="Symbol" w:ascii="Symbol" w:hAnsi="Symbol"/>
          <w:sz w:val="24"/>
        </w:rPr>
        <w:sym w:font="Symbol" w:char="f073"/>
      </w:r>
      <w:r>
        <w:rPr>
          <w:rFonts w:cs="Times New Roman" w:ascii="Times New Roman" w:hAnsi="Times New Roman"/>
          <w:sz w:val="24"/>
        </w:rPr>
        <w:t>dz</w:t>
        <w:tab/>
        <w:tab/>
        <w:tab/>
        <w:tab/>
        <w:tab/>
        <w:t>(10)</w:t>
        <w:tab/>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tab/>
      </w:r>
    </w:p>
    <w:p>
      <w:pPr>
        <w:pStyle w:val="BodyText"/>
        <w:numPr>
          <w:ilvl w:val="0"/>
          <w:numId w:val="0"/>
        </w:numPr>
        <w:ind w:hanging="0" w:start="360" w:end="0"/>
        <w:jc w:val="both"/>
        <w:rPr/>
      </w:pPr>
      <w:r>
        <w:rPr>
          <w:rFonts w:cs="Times New Roman" w:ascii="Times New Roman" w:hAnsi="Times New Roman"/>
          <w:sz w:val="24"/>
        </w:rPr>
        <w:t xml:space="preserve">where </w:t>
      </w:r>
      <w:r>
        <w:rPr>
          <w:rFonts w:eastAsia="Symbol" w:cs="Symbol" w:ascii="Symbol" w:hAnsi="Symbol"/>
          <w:sz w:val="24"/>
        </w:rPr>
        <w:sym w:font="Symbol" w:char="f06b"/>
      </w:r>
      <w:r>
        <w:rPr>
          <w:rFonts w:cs="Times New Roman" w:ascii="Times New Roman" w:hAnsi="Times New Roman"/>
          <w:sz w:val="24"/>
        </w:rPr>
        <w:t xml:space="preserve"> denotes the speed of mean reversion, and </w:t>
      </w:r>
      <w:r>
        <w:rPr>
          <w:rFonts w:eastAsia="Symbol" w:cs="Symbol" w:ascii="Symbol" w:hAnsi="Symbol"/>
          <w:sz w:val="24"/>
        </w:rPr>
        <w:sym w:font="Symbol" w:char="f073"/>
      </w:r>
      <w:r>
        <w:rPr>
          <w:rFonts w:cs="Times New Roman" w:ascii="Times New Roman" w:hAnsi="Times New Roman"/>
          <w:sz w:val="24"/>
        </w:rPr>
        <w:t xml:space="preserve"> the volatility. We can assume, without loss of generality that </w:t>
      </w:r>
      <w:r>
        <w:rPr>
          <w:rFonts w:eastAsia="Symbol" w:cs="Symbol" w:ascii="Symbol" w:hAnsi="Symbol"/>
          <w:sz w:val="24"/>
        </w:rPr>
        <w:sym w:font="Symbol" w:char="f06b"/>
      </w:r>
      <w:r>
        <w:rPr>
          <w:rFonts w:cs="Times New Roman" w:ascii="Times New Roman" w:hAnsi="Times New Roman"/>
          <w:sz w:val="24"/>
        </w:rPr>
        <w:t xml:space="preserve"> &gt; 0. The first term in the equation (10) represents mean reversion. If the price F exceeds the long-term level c, then c – F &lt; 0, and the first term in equation (10) will produce a negative contribution to the price change, dF (given that </w:t>
      </w:r>
      <w:r>
        <w:rPr>
          <w:rFonts w:eastAsia="Symbol" w:cs="Symbol" w:ascii="Symbol" w:hAnsi="Symbol"/>
          <w:sz w:val="24"/>
        </w:rPr>
        <w:sym w:font="Symbol" w:char="f06b"/>
      </w:r>
      <w:r>
        <w:rPr>
          <w:rFonts w:cs="Times New Roman" w:ascii="Times New Roman" w:hAnsi="Times New Roman"/>
          <w:sz w:val="24"/>
        </w:rPr>
        <w:t xml:space="preserve"> &gt; 0). The second term in the equation (10) is random, and its realization may be negative or positive. If it is negative, it will reinforce the impact of the first term; if it is positive it may offset partially or completely the impact of the mean reversion. If the starting price level is F(0), the expectation of price at time t will be given by c + (F(0) – c) exp(-</w:t>
      </w:r>
      <w:r>
        <w:rPr>
          <w:rFonts w:eastAsia="Symbol" w:cs="Symbol" w:ascii="Symbol" w:hAnsi="Symbol"/>
          <w:sz w:val="24"/>
        </w:rPr>
        <w:sym w:font="Symbol" w:char="f06b"/>
      </w:r>
      <w:r>
        <w:rPr>
          <w:rFonts w:cs="Times New Roman" w:ascii="Times New Roman" w:hAnsi="Times New Roman"/>
          <w:sz w:val="24"/>
        </w:rPr>
        <w:t xml:space="preserve"> t). As the term exp(-</w:t>
      </w:r>
      <w:r>
        <w:rPr>
          <w:rFonts w:eastAsia="Symbol" w:cs="Symbol" w:ascii="Symbol" w:hAnsi="Symbol"/>
          <w:sz w:val="24"/>
        </w:rPr>
        <w:sym w:font="Symbol" w:char="f06b"/>
      </w:r>
      <w:r>
        <w:rPr>
          <w:rFonts w:cs="Times New Roman" w:ascii="Times New Roman" w:hAnsi="Times New Roman"/>
          <w:sz w:val="24"/>
        </w:rPr>
        <w:t xml:space="preserve"> t) goes to 0, as t becomes large, the long-term expectation of price is equal to c.</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firstLine="360" w:start="360" w:end="0"/>
        <w:jc w:val="both"/>
        <w:rPr/>
      </w:pPr>
      <w:r>
        <w:rPr>
          <w:rFonts w:cs="Times New Roman" w:ascii="Times New Roman" w:hAnsi="Times New Roman"/>
          <w:sz w:val="24"/>
        </w:rPr>
        <w:t xml:space="preserve">One should observe that the second term in the equation (10) is similar to the diffusion part of GBM, but the interpretation of  volatility changes. The change in price, dF, is measured in dollars per physical unit, </w:t>
      </w:r>
      <w:r>
        <w:rPr>
          <w:rFonts w:cs="Times New Roman" w:ascii="Times New Roman" w:hAnsi="Times New Roman"/>
          <w:i/>
          <w:sz w:val="24"/>
        </w:rPr>
        <w:t>dz</w:t>
      </w:r>
      <w:r>
        <w:rPr>
          <w:rFonts w:cs="Times New Roman" w:ascii="Times New Roman" w:hAnsi="Times New Roman"/>
          <w:sz w:val="24"/>
        </w:rPr>
        <w:t xml:space="preserve">, is unitless, and therefore </w:t>
      </w:r>
      <w:r>
        <w:rPr>
          <w:rFonts w:eastAsia="Symbol" w:cs="Symbol" w:ascii="Symbol" w:hAnsi="Symbol"/>
          <w:sz w:val="24"/>
        </w:rPr>
        <w:sym w:font="Symbol" w:char="f073"/>
      </w:r>
      <w:r>
        <w:rPr>
          <w:rFonts w:cs="Times New Roman" w:ascii="Times New Roman" w:hAnsi="Times New Roman"/>
          <w:sz w:val="24"/>
        </w:rPr>
        <w:t xml:space="preserve"> in (10) must be measured in dollars as well, unlike volatility used in Black-Scholes option models. The important lesson is that we define and estimate volatility in the context of the stochastic process assumption and when this changes, the interpretation of volatility changes as well.</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firstLine="360" w:start="360" w:end="0"/>
        <w:jc w:val="both"/>
        <w:rPr/>
      </w:pPr>
      <w:r>
        <w:rPr>
          <w:rFonts w:cs="Times New Roman" w:ascii="Times New Roman" w:hAnsi="Times New Roman"/>
          <w:sz w:val="24"/>
        </w:rPr>
        <w:t>One could argue that the use of a mean-reversion process represents another case of looking for the car keys under the street light, even if they were lost somewhere else. Vasicek first used the mean reversion model for modeling interest rate dynamics and subsequently the model was widely adapted. In the case of energy commodities, a pure mean reversion model may not perform well. First of all, speed of mean reversion may be different below and above the long-term level. Second, in many markets, especially in the case of electricity, one can expect more departures to the upside, than to the downside</w:t>
      </w:r>
      <w:r>
        <w:rPr>
          <w:rFonts w:cs="Times New Roman" w:ascii="Times New Roman" w:hAnsi="Times New Roman"/>
          <w:sz w:val="24"/>
          <w:vertAlign w:val="superscript"/>
        </w:rPr>
        <w:t>4</w:t>
      </w:r>
      <w:r>
        <w:rPr>
          <w:rFonts w:cs="Times New Roman" w:ascii="Times New Roman" w:hAnsi="Times New Roman"/>
          <w:sz w:val="24"/>
        </w:rPr>
        <w:t>. Third, a price spike in  one direction is frequently neutralized by a spike of similar magnitude and opposite sign, occurring shortly after the initial spike. The mean reversion process produces a re-adjustment  that is less abrupt.</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hanging="360" w:start="360" w:end="0"/>
        <w:jc w:val="both"/>
        <w:rPr/>
      </w:pPr>
      <w:r>
        <w:rPr>
          <w:rFonts w:cs="Times New Roman" w:ascii="Times New Roman" w:hAnsi="Times New Roman"/>
          <w:sz w:val="24"/>
        </w:rPr>
        <w:t>5.</w:t>
        <w:tab/>
        <w:t>Finally, prices of energy commodities behave differently during different periods of their lives. This is especially true of forward prices. According to the so-called Samuelson’s hypothesis</w:t>
      </w:r>
      <w:r>
        <w:rPr>
          <w:rFonts w:cs="Times New Roman" w:ascii="Times New Roman" w:hAnsi="Times New Roman"/>
          <w:sz w:val="24"/>
          <w:vertAlign w:val="superscript"/>
        </w:rPr>
        <w:t>5</w:t>
      </w:r>
      <w:r>
        <w:rPr>
          <w:rFonts w:cs="Times New Roman" w:ascii="Times New Roman" w:hAnsi="Times New Roman"/>
          <w:sz w:val="24"/>
        </w:rPr>
        <w:t>, volatility of forward prices increases  as they get closer to their maturity. This can be explained by the fact that more information becomes available as the forward contract gets closer to delivery period, and this results in more trading, which in turn produces more volatility. The authors believe that GBM may represent a reasonable approximation to the reality of forward markets. Once a forward contract reaches maturity and we enter the delivery period, the behavior of prices becomes more erratic and subject to frequent  jumps</w:t>
      </w:r>
      <w:r>
        <w:rPr>
          <w:rFonts w:cs="Times New Roman" w:ascii="Times New Roman" w:hAnsi="Times New Roman"/>
          <w:sz w:val="24"/>
          <w:vertAlign w:val="superscript"/>
        </w:rPr>
        <w:t>6</w:t>
      </w:r>
      <w:r>
        <w:rPr>
          <w:rFonts w:cs="Times New Roman" w:ascii="Times New Roman" w:hAnsi="Times New Roman"/>
          <w:sz w:val="24"/>
        </w:rPr>
        <w:t>. This suggests that one can model price behavior using more traditional apparatus like GBM or OU during the forward stages of their life, switching to more complex processes to describe the dynamics of the spot prices during the delivery month.</w:t>
      </w:r>
    </w:p>
    <w:p>
      <w:pPr>
        <w:pStyle w:val="BodyText"/>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hanging="0" w:start="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Many academic and applied researchers combine the features listed above in an integrated framework. What follows below is a selective list of  some contributions in the area of modeling energy prices.  </w:t>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BodyText"/>
        <w:numPr>
          <w:ilvl w:val="0"/>
          <w:numId w:val="0"/>
        </w:numPr>
        <w:ind w:hanging="0"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0"/>
        </w:numPr>
        <w:ind w:hanging="0" w:start="0"/>
        <w:jc w:val="both"/>
        <w:rPr>
          <w:b/>
          <w:i/>
          <w:i/>
          <w:sz w:val="24"/>
        </w:rPr>
      </w:pPr>
      <w:r>
        <w:rPr>
          <w:b/>
          <w:i/>
          <w:sz w:val="24"/>
        </w:rPr>
        <w:t xml:space="preserve">Note: A list of references will be included </w:t>
      </w:r>
      <w:r>
        <w:rPr>
          <w:b/>
          <w:sz w:val="24"/>
        </w:rPr>
        <w:t>here</w:t>
      </w:r>
    </w:p>
    <w:p>
      <w:pPr>
        <w:pStyle w:val="Normal"/>
        <w:numPr>
          <w:ilvl w:val="0"/>
          <w:numId w:val="0"/>
        </w:numPr>
        <w:ind w:hanging="0" w:start="0"/>
        <w:jc w:val="both"/>
        <w:rPr/>
      </w:pPr>
      <w:r>
        <w:rPr>
          <w:b/>
          <w:sz w:val="24"/>
        </w:rPr>
        <w:t>Pricing methodology</w:t>
      </w:r>
      <w:r>
        <w:rPr>
          <w:sz w:val="24"/>
        </w:rPr>
        <w:t xml:space="preserve"> </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i/>
          <w:sz w:val="24"/>
        </w:rPr>
        <w:t>Monte Carlo methods</w:t>
      </w:r>
      <w:r>
        <w:rPr>
          <w:sz w:val="24"/>
        </w:rPr>
        <w:t xml:space="preserve"> The Monte Carlo approach for valuing options was first described by Boyle (1977). The Monte Carlo approach simulates the prices of the instruments underlying the option, and allows us to compute the option payoff for each scenario of price movements. The simulations are repeated several times (typically, at least a few thousand times), and the option payoffs for the different paths are discounted to the present time and then averaged. This average payoff represents an estimate of the option value.</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A single price is often simulated over time using the assumption of geometric Brownian motion – the assumption that underlies the Black-Scholes equation. The following formula for the price at time t+</w:t>
      </w:r>
      <w:r>
        <w:rPr>
          <w:rFonts w:eastAsia="Symbol" w:cs="Symbol" w:ascii="Symbol" w:hAnsi="Symbol"/>
          <w:sz w:val="24"/>
        </w:rPr>
        <w:sym w:font="Symbol" w:char="f044"/>
      </w:r>
      <w:r>
        <w:rPr>
          <w:sz w:val="24"/>
        </w:rPr>
        <w:t>t follows from equation (1) and can be used to produce a path for a single price:</w:t>
      </w:r>
    </w:p>
    <w:p>
      <w:pPr>
        <w:pStyle w:val="Normal"/>
        <w:numPr>
          <w:ilvl w:val="0"/>
          <w:numId w:val="0"/>
        </w:numPr>
        <w:ind w:hanging="0" w:start="0"/>
        <w:jc w:val="both"/>
        <w:rPr>
          <w:sz w:val="24"/>
        </w:rPr>
      </w:pPr>
      <w:r>
        <w:rPr>
          <w:sz w:val="24"/>
        </w:rPr>
      </w:r>
    </w:p>
    <w:p>
      <w:pPr>
        <w:pStyle w:val="Normal"/>
        <w:numPr>
          <w:ilvl w:val="0"/>
          <w:numId w:val="0"/>
        </w:numPr>
        <w:ind w:firstLine="720" w:start="1440" w:end="0"/>
        <w:jc w:val="both"/>
        <w:rPr/>
      </w:pPr>
      <w:r>
        <w:rPr>
          <w:i/>
        </w:rPr>
      </w:r>
      <m:oMath xmlns:m="http://schemas.openxmlformats.org/officeDocument/2006/math">
        <m:sSub>
          <m:e>
            <m:r>
              <m:t xml:space="preserve">F</m:t>
            </m:r>
          </m:e>
          <m:sub>
            <m:r>
              <m:t xml:space="preserve">t</m:t>
            </m:r>
            <m:r>
              <m:t xml:space="preserve">+</m:t>
            </m:r>
            <m:r>
              <m:t xml:space="preserve">1</m:t>
            </m:r>
          </m:sub>
        </m:sSub>
        <m:r>
          <m:t xml:space="preserve">=</m:t>
        </m:r>
        <m:sSub>
          <m:e>
            <m:r>
              <m:t xml:space="preserve">F</m:t>
            </m:r>
          </m:e>
          <m:sub>
            <m:r>
              <m:t xml:space="preserve">t</m:t>
            </m:r>
          </m:sub>
        </m:sSub>
        <m:r>
          <m:rPr>
            <m:lit/>
            <m:nor/>
          </m:rPr>
          <m:t xml:space="preserve">exp</m:t>
        </m:r>
        <m:r>
          <m:t xml:space="preserve">[</m:t>
        </m:r>
        <m:r>
          <m:t xml:space="preserve">(</m:t>
        </m:r>
        <m:r>
          <m:t xml:space="preserve">μ</m:t>
        </m:r>
        <m:r>
          <m:t xml:space="preserve">−</m:t>
        </m:r>
        <m:f>
          <m:num>
            <m:sSup>
              <m:e>
                <m:r>
                  <m:t xml:space="preserve">σ</m:t>
                </m:r>
              </m:e>
              <m:sup>
                <m:r>
                  <m:t xml:space="preserve">2</m:t>
                </m:r>
              </m:sup>
            </m:sSup>
          </m:num>
          <m:den>
            <m:r>
              <m:t xml:space="preserve">2</m:t>
            </m:r>
          </m:den>
        </m:f>
        <m:r>
          <m:t xml:space="preserve">)</m:t>
        </m:r>
        <m:r>
          <m:t xml:space="preserve">Δ</m:t>
        </m:r>
        <m:r>
          <m:rPr>
            <m:lit/>
            <m:nor/>
          </m:rPr>
          <m:t xml:space="preserve">t+</m:t>
        </m:r>
        <m:r>
          <m:rPr>
            <m:lit/>
            <m:nor/>
          </m:rPr>
          <m:t xml:space="preserve">σε</m:t>
        </m:r>
        <m:rad>
          <m:radPr>
            <m:degHide m:val="1"/>
          </m:radPr>
          <m:deg/>
          <m:e>
            <m:r>
              <m:t xml:space="preserve">Δt</m:t>
            </m:r>
          </m:e>
        </m:rad>
        <m:r>
          <m:t xml:space="preserve">]</m:t>
        </m:r>
      </m:oMath>
      <w:r>
        <w:rPr>
          <w:sz w:val="24"/>
        </w:rPr>
        <w:tab/>
        <w:tab/>
        <w:tab/>
        <w:tab/>
        <w:t>(11)</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 xml:space="preserve">where </w:t>
      </w:r>
      <w:r>
        <w:rPr>
          <w:rFonts w:eastAsia="Symbol" w:cs="Symbol" w:ascii="Symbol" w:hAnsi="Symbol"/>
          <w:sz w:val="24"/>
        </w:rPr>
        <w:sym w:font="Symbol" w:char="f065"/>
      </w:r>
      <w:r>
        <w:rPr>
          <w:sz w:val="24"/>
        </w:rPr>
        <w:t xml:space="preserve"> represents a drawing from the standard normal distribution. The time increment may be taken as one calendar or trading day (or week or month), with an appropriate scaling of the other parameters (which are conventionally quoted on an annual basis). The drift coefficient </w:t>
      </w:r>
      <w:r>
        <w:rPr>
          <w:rFonts w:eastAsia="Symbol" w:cs="Symbol" w:ascii="Symbol" w:hAnsi="Symbol"/>
          <w:sz w:val="24"/>
        </w:rPr>
        <w:sym w:font="Symbol" w:char="f06d"/>
      </w:r>
      <w:r>
        <w:rPr>
          <w:sz w:val="24"/>
        </w:rPr>
        <w:t xml:space="preserve">, which is usually set to the risk-free interest rate for a stock that does not pay dividends, is made zero when modelling forwards and futures prices. Volatility, </w:t>
      </w:r>
      <w:r>
        <w:rPr>
          <w:rFonts w:eastAsia="Symbol" w:cs="Symbol" w:ascii="Symbol" w:hAnsi="Symbol"/>
          <w:sz w:val="24"/>
        </w:rPr>
        <w:sym w:font="Symbol" w:char="f073"/>
      </w:r>
      <w:r>
        <w:rPr>
          <w:sz w:val="24"/>
        </w:rPr>
        <w:t>, is usually quoted as an annualised number, and should be adjusted according to the simulation frequency.</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Although geometric Brownian motion is a common assumption for price behaviour, virtually any type of price evolution can be simulated using the Monte Carlo approach. Monte Carlo may be the method of choice for price processes that are difficult to implement using binomial or finite-difference methods. Because of the simplicity of implementation, the Monte Carlo approach is also useful as a way of validating pricing models that are based on other approaches.</w:t>
      </w:r>
    </w:p>
    <w:p>
      <w:pPr>
        <w:pStyle w:val="Normal"/>
        <w:numPr>
          <w:ilvl w:val="0"/>
          <w:numId w:val="0"/>
        </w:numPr>
        <w:ind w:hanging="0" w:start="0"/>
        <w:jc w:val="both"/>
        <w:rPr>
          <w:sz w:val="24"/>
        </w:rPr>
      </w:pPr>
      <w:r>
        <w:rPr>
          <w:sz w:val="24"/>
        </w:rPr>
      </w:r>
    </w:p>
    <w:p>
      <w:pPr>
        <w:pStyle w:val="BodyText2"/>
        <w:numPr>
          <w:ilvl w:val="0"/>
          <w:numId w:val="0"/>
        </w:numPr>
        <w:ind w:firstLine="720" w:start="0" w:end="0"/>
        <w:jc w:val="both"/>
        <w:rPr>
          <w:rFonts w:ascii="Times New Roman" w:hAnsi="Times New Roman" w:cs="Times New Roman"/>
          <w:color w:val="008000"/>
          <w:sz w:val="24"/>
        </w:rPr>
      </w:pPr>
      <w:r>
        <w:rPr>
          <w:rFonts w:cs="Times New Roman" w:ascii="Times New Roman" w:hAnsi="Times New Roman"/>
          <w:color w:val="008000"/>
          <w:sz w:val="24"/>
        </w:rPr>
        <w:t>In recent  years, several investigators have published methods to extend Monte Carlo to the valuation of options with American style exercise.  Tilley (1993) was the first to present an American Monte Carlo (AMC) approach, which relied on the grouping of nearby paths at each time step in the simulation in order to allow for a backward recursion to estimate the exercise boundary.  Although somewhat computationally intensive, AMC methods and path-dependent lattice methods, discussed below, provide tools for analysing a wide range of American path-dependent options that occur in the energy industry.</w:t>
      </w:r>
    </w:p>
    <w:p>
      <w:pPr>
        <w:pStyle w:val="BodyText2"/>
        <w:numPr>
          <w:ilvl w:val="0"/>
          <w:numId w:val="0"/>
        </w:numPr>
        <w:ind w:firstLine="720" w:start="0" w:end="0"/>
        <w:jc w:val="both"/>
        <w:rPr>
          <w:rFonts w:ascii="Times New Roman" w:hAnsi="Times New Roman" w:cs="Times New Roman"/>
          <w:color w:val="008000"/>
          <w:sz w:val="24"/>
        </w:rPr>
      </w:pPr>
      <w:r>
        <w:rPr>
          <w:rFonts w:cs="Times New Roman" w:ascii="Times New Roman" w:hAnsi="Times New Roman"/>
          <w:color w:val="008000"/>
          <w:sz w:val="24"/>
        </w:rPr>
      </w:r>
    </w:p>
    <w:p>
      <w:pPr>
        <w:pStyle w:val="BodyText2"/>
        <w:numPr>
          <w:ilvl w:val="0"/>
          <w:numId w:val="0"/>
        </w:numPr>
        <w:ind w:firstLine="720" w:start="0" w:end="0"/>
        <w:jc w:val="both"/>
        <w:rPr>
          <w:rFonts w:ascii="Times New Roman" w:hAnsi="Times New Roman" w:cs="Times New Roman"/>
          <w:color w:val="008000"/>
          <w:sz w:val="24"/>
        </w:rPr>
      </w:pPr>
      <w:r>
        <w:rPr>
          <w:rFonts w:cs="Times New Roman" w:ascii="Times New Roman" w:hAnsi="Times New Roman"/>
          <w:color w:val="008000"/>
          <w:sz w:val="24"/>
        </w:rPr>
        <w:t>Barraquand and Martineau (1995) introduce a somewhat different method of implementing AMC by using a technique that they call “stratified state aggregation” (SSA).  SSA allows them to reduce the dimensionality of the problem of pricing an American option on the maximum of a basket of several assets.  Using simulation, they calculate payoffs of each state and transition probabilities between states at subsequent time steps in order to allow for a recursive calculation of optimal exercise.  Raymar and Zwecker (1997) extend the stratified state aggregation approach by using a two dimensional state space to attack the same problem and perform numerical experiments to verify that their models do not exhibit significant foresight biases.</w:t>
      </w:r>
    </w:p>
    <w:p>
      <w:pPr>
        <w:pStyle w:val="BodyText2"/>
        <w:numPr>
          <w:ilvl w:val="0"/>
          <w:numId w:val="0"/>
        </w:numPr>
        <w:ind w:firstLine="720" w:start="0" w:end="0"/>
        <w:jc w:val="both"/>
        <w:rPr>
          <w:rFonts w:ascii="Times New Roman" w:hAnsi="Times New Roman" w:cs="Times New Roman"/>
          <w:color w:val="008000"/>
          <w:sz w:val="24"/>
        </w:rPr>
      </w:pPr>
      <w:r>
        <w:rPr>
          <w:rFonts w:cs="Times New Roman" w:ascii="Times New Roman" w:hAnsi="Times New Roman"/>
          <w:color w:val="008000"/>
          <w:sz w:val="24"/>
        </w:rPr>
      </w:r>
    </w:p>
    <w:p>
      <w:pPr>
        <w:pStyle w:val="BodyText2"/>
        <w:numPr>
          <w:ilvl w:val="0"/>
          <w:numId w:val="0"/>
        </w:numPr>
        <w:ind w:firstLine="720" w:start="0" w:end="0"/>
        <w:jc w:val="both"/>
        <w:rPr/>
      </w:pPr>
      <w:r>
        <w:rPr>
          <w:rFonts w:cs="Times New Roman" w:ascii="Times New Roman" w:hAnsi="Times New Roman"/>
          <w:color w:val="008000"/>
          <w:sz w:val="24"/>
        </w:rPr>
        <w:t xml:space="preserve">   </w:t>
      </w:r>
      <w:r>
        <w:rPr>
          <w:rFonts w:cs="Times New Roman" w:ascii="Times New Roman" w:hAnsi="Times New Roman"/>
          <w:color w:val="008000"/>
          <w:sz w:val="24"/>
        </w:rPr>
        <w:t>Broadie and Glasserman (1997) implement AMC by using simulation to construct branching paths.  The branches growing forward from each possible early exercise time are used to evaluate the exercise decision.  Because the simulation paths become, in essence, bushy trees, the number of possible exercise dates must be very limited in order to keep computation time and memory at reasonable levels.  Broadie, Glasserman, and Jain (1997) suggest methods to improve the speed and convergence of this technique</w:t>
      </w:r>
      <w:r>
        <w:rPr>
          <w:color w:val="008000"/>
        </w:rPr>
        <w:t>.</w:t>
      </w:r>
    </w:p>
    <w:p>
      <w:pPr>
        <w:pStyle w:val="BodyText2"/>
        <w:numPr>
          <w:ilvl w:val="0"/>
          <w:numId w:val="0"/>
        </w:numPr>
        <w:ind w:firstLine="720" w:start="0" w:end="0"/>
        <w:jc w:val="both"/>
        <w:rPr>
          <w:color w:val="008000"/>
        </w:rPr>
      </w:pPr>
      <w:r>
        <w:rPr>
          <w:color w:val="008000"/>
        </w:rPr>
      </w:r>
    </w:p>
    <w:p>
      <w:pPr>
        <w:pStyle w:val="BodyText2"/>
        <w:numPr>
          <w:ilvl w:val="0"/>
          <w:numId w:val="0"/>
        </w:numPr>
        <w:ind w:firstLine="720" w:start="0" w:end="0"/>
        <w:jc w:val="both"/>
        <w:rPr/>
      </w:pPr>
      <w:r>
        <w:rPr>
          <w:rFonts w:eastAsia="Tms Rmn"/>
          <w:color w:val="008000"/>
        </w:rPr>
        <w:t xml:space="preserve"> </w:t>
      </w:r>
      <w:r>
        <w:rPr>
          <w:rFonts w:cs="Times New Roman" w:ascii="Times New Roman" w:hAnsi="Times New Roman"/>
          <w:color w:val="FF00FF"/>
          <w:sz w:val="24"/>
        </w:rPr>
        <w:t>The advantage of the AMC approach is the ability to capture two critical aspects of typical energy markets options: American flavour and the need to use more complex stochastic processes in modelling price dynamics. We believe that in spite of the relatively low speed of this valuation technique, it’s one of the most promising developments of the last few years.</w:t>
      </w:r>
    </w:p>
    <w:p>
      <w:pPr>
        <w:pStyle w:val="BodyText2"/>
        <w:numPr>
          <w:ilvl w:val="0"/>
          <w:numId w:val="0"/>
        </w:numPr>
        <w:ind w:firstLine="720" w:start="0" w:end="0"/>
        <w:jc w:val="both"/>
        <w:rPr>
          <w:rFonts w:ascii="Times New Roman" w:hAnsi="Times New Roman" w:cs="Times New Roman"/>
          <w:color w:val="FF00FF"/>
          <w:sz w:val="24"/>
        </w:rPr>
      </w:pPr>
      <w:r>
        <w:rPr>
          <w:rFonts w:cs="Times New Roman" w:ascii="Times New Roman" w:hAnsi="Times New Roman"/>
          <w:color w:val="FF00FF"/>
          <w:sz w:val="24"/>
        </w:rPr>
      </w:r>
    </w:p>
    <w:p>
      <w:pPr>
        <w:pStyle w:val="Normal"/>
        <w:numPr>
          <w:ilvl w:val="0"/>
          <w:numId w:val="0"/>
        </w:numPr>
        <w:ind w:firstLine="720" w:start="0" w:end="0"/>
        <w:jc w:val="both"/>
        <w:rPr/>
      </w:pPr>
      <w:r>
        <w:rPr>
          <w:color w:val="0000FF"/>
          <w:sz w:val="24"/>
        </w:rPr>
        <w:t>The main drawback of the Monte Carlo method is its relatively slow speed.</w:t>
      </w:r>
      <w:r>
        <w:rPr>
          <w:sz w:val="24"/>
        </w:rPr>
        <w:t xml:space="preserve">  Since the standard error of the result from a Monte Carlo simulation is inversely proportional to the square root of the number of price path simulations, a large number of price simulations may be required – resulting in a long “run time” for the model. Of course, in a trading environment it is critical to produce precise option premium estimates within a short period of time. As a result, variance-reduction techniques are often used to improve the convergence of simulation results, and to keep the number of price scenarios within acceptable limits. One such technique, known as the “method of control variates”, is discussed later in the section on Asian options. Curran (1994) discusses stratified sampling, another variance reduction technique.</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ab/>
        <w:t>Monte Carlo methods may also be used to value options that have payoffs which are dependent on two or more underlying instruments. In this case, the simulation should take into account the correlation between the underlying prices. An even more difficult problem is represented by options with payoffs that are dependent on the shape of the forward price curve and the yield curve (options on swaps). To price such claims it is necessary to model the entire curve. One approach to solving this problem is based on the Heath-Jarrow-Morton (1992) factor model which, though developed originally for interest rate instruments, seems very promising for commodity options.</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pPr>
      <w:r>
        <w:rPr>
          <w:sz w:val="24"/>
        </w:rPr>
        <w:tab/>
        <w:t xml:space="preserve">All Monte Carlo algorithms depend on operating system supplied or other software in order to generate random drawings from a known distribution. Most software packages for numerical calculations contain programmes that generate random numbers. These programmes can also be implemented by any programmer who understands basic probability theory. Assuring the quality of pseudo-random number generators is critical to the implementation of simulation methods, as a poor random number generation can lead to incorrect results or poor convergence. </w:t>
      </w:r>
      <w:r>
        <w:rPr>
          <w:color w:val="008000"/>
          <w:sz w:val="24"/>
        </w:rPr>
        <w:t>Chaplin (1993) suggests several tests that can be used for the verification of pseudo-random number generators. Press et al. (1992) give methods for improving system-supplied random number generators, and present stand-alone random generators; they also discuss methods for sampling from various distributions.</w:t>
      </w:r>
    </w:p>
    <w:p>
      <w:pPr>
        <w:pStyle w:val="Normal"/>
        <w:numPr>
          <w:ilvl w:val="0"/>
          <w:numId w:val="0"/>
        </w:numPr>
        <w:ind w:firstLine="720" w:start="0" w:end="0"/>
        <w:jc w:val="both"/>
        <w:rPr>
          <w:color w:val="008000"/>
          <w:sz w:val="24"/>
        </w:rPr>
      </w:pPr>
      <w:r>
        <w:rPr>
          <w:color w:val="008000"/>
          <w:sz w:val="24"/>
        </w:rPr>
      </w:r>
    </w:p>
    <w:p>
      <w:pPr>
        <w:pStyle w:val="Normal"/>
        <w:numPr>
          <w:ilvl w:val="0"/>
          <w:numId w:val="0"/>
        </w:numPr>
        <w:ind w:firstLine="720" w:start="0" w:end="0"/>
        <w:jc w:val="both"/>
        <w:rPr>
          <w:color w:val="008000"/>
          <w:sz w:val="24"/>
        </w:rPr>
      </w:pPr>
      <w:r>
        <w:rPr>
          <w:color w:val="008000"/>
          <w:sz w:val="24"/>
        </w:rPr>
        <w:t xml:space="preserve">The use of quasi-random “low-discrepancy” sequences has also received much attention in recent years.  Galanti and Jung (1997) examine the use of several types of low-discrepancy sequences.   Hammersley and Handscomb (1964) provide a good general reference for Monte Carlo methods, including discussions of random number generation and variance reduction techniques.  More recently, Boyle, Broadie, and Glasserman (1997) discuss recent applications of the Monte Carlo method to security pricing problems, focussing on variance reduction methods including low-discrepancy sequences. Schmeiser (1990) gives a more concise review of simulation methods, including pseudo-random number generation, random variate generation and variance reduction.   </w:t>
      </w:r>
    </w:p>
    <w:p>
      <w:pPr>
        <w:pStyle w:val="Normal"/>
        <w:numPr>
          <w:ilvl w:val="0"/>
          <w:numId w:val="0"/>
        </w:numPr>
        <w:ind w:firstLine="720" w:start="0" w:end="0"/>
        <w:jc w:val="both"/>
        <w:rPr>
          <w:color w:val="008000"/>
          <w:sz w:val="24"/>
        </w:rPr>
      </w:pPr>
      <w:r>
        <w:rPr>
          <w:color w:val="008000"/>
          <w:sz w:val="24"/>
        </w:rPr>
      </w:r>
    </w:p>
    <w:p>
      <w:pPr>
        <w:pStyle w:val="Normal"/>
        <w:numPr>
          <w:ilvl w:val="0"/>
          <w:numId w:val="0"/>
        </w:numPr>
        <w:ind w:firstLine="720" w:start="0" w:end="0"/>
        <w:jc w:val="both"/>
        <w:rPr/>
      </w:pPr>
      <w:r>
        <w:rPr>
          <w:i/>
          <w:sz w:val="24"/>
        </w:rPr>
        <w:t>Binomial trees</w:t>
      </w:r>
      <w:r>
        <w:rPr>
          <w:sz w:val="24"/>
        </w:rPr>
        <w:t xml:space="preserve"> Binomial (trinomial, n-nomial) trees, sometimes referred to as lattice methods, have become one of the most popular and widely used methods for pricing options. In a sense, the binomial tree approach occupies the middle ground between Monte Carlo simulation and finite difference methods; that is, while it can be described as “organised simulation”, it can also be thought of as a special case of the finite difference method. In a tree method, the life of the option is subdivided into a number of time intervals. In each interval, the price of the underlying can move into a small number of states. For example, in the binomial tree method, the price in one time step can go up with a probability, say p, and go down with a probability (1-p). The magnitudes and probabilities of the price shifts are determined from the stochastic process assumed for the price of the underlying by requiring that the distribution of the tree prices has the correct mean and variance at each time step (for example, </w:t>
      </w:r>
      <w:r>
        <w:rPr>
          <w:color w:val="0000FF"/>
          <w:sz w:val="24"/>
        </w:rPr>
        <w:t>Cox, Ross, and Rubinstein, 1979,</w:t>
      </w:r>
      <w:r>
        <w:rPr>
          <w:sz w:val="24"/>
        </w:rPr>
        <w:t xml:space="preserve"> Cox and Rubinstein, 1985; Hull, 1993; and </w:t>
      </w:r>
      <w:r>
        <w:rPr>
          <w:color w:val="0000FF"/>
          <w:sz w:val="24"/>
        </w:rPr>
        <w:t>Trigeorgis</w:t>
      </w:r>
      <w:r>
        <w:rPr>
          <w:sz w:val="24"/>
        </w:rPr>
        <w:t>, 1991).</w:t>
      </w:r>
    </w:p>
    <w:p>
      <w:pPr>
        <w:pStyle w:val="Normal"/>
        <w:numPr>
          <w:ilvl w:val="0"/>
          <w:numId w:val="0"/>
        </w:numPr>
        <w:ind w:firstLine="720" w:start="0" w:end="0"/>
        <w:jc w:val="both"/>
        <w:rPr>
          <w:sz w:val="24"/>
        </w:rPr>
      </w:pPr>
      <w:r>
        <w:rPr>
          <w:sz w:val="24"/>
        </w:rPr>
      </w:r>
    </w:p>
    <w:p>
      <w:pPr>
        <w:pStyle w:val="Normal"/>
        <w:numPr>
          <w:ilvl w:val="0"/>
          <w:numId w:val="0"/>
        </w:numPr>
        <w:ind w:hanging="0" w:start="0"/>
        <w:jc w:val="both"/>
        <w:rPr>
          <w:sz w:val="24"/>
        </w:rPr>
      </w:pPr>
      <w:r>
        <w:rPr>
          <w:sz w:val="24"/>
        </w:rPr>
        <w:tab/>
        <w:t>Figure 1 illustrates a binomial tree along with the numerical assumptions used to construct the tree. The upward price movement is determined by multiplying the price at a given node by factor u. The downward movement is given by d, the inverse of u (d=1/u). The top value at each node of the tree in Figure 1 gives the price of the underlying at that node. The lower, italicised number is the option value at the node. At horizon, the option payoff is computed for each of the terminal nodes. The option value is then calculated by means of a backward recursion, which takes the terminal payoffs back through the tree. The payoffs are discounted and weighted by the probabilities of the upward and downward price movements. The resulting discounted, probability-weighted average of the payoffs is an estimate of the option’s value.</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For example, a four-week European call option can be priced using the numerical assumptions shown in Figure 1. The option payoff at horizon is equal to the difference between the price and the strike, if this difference is positive, and zero otherwise. In Figure 1, the payoffs are equal to (from top to bottom): $0.547, $0.258, $0.00, $0.00, $0.00. The value of the option one week prior to expiration, at the top node, is equal to $0.398. The value at this node is calculated as follows:</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Discount_factor x {Probability(up) x payoff(up) + Probability(down) x payoff(down)}</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 xml:space="preserve">or </w:t>
        <w:tab/>
        <w:t>0.99846 x (0.4861 x $0.547 + 0.5139 x  $0.258) = $0.398</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Continuing backward through the tree to calculate values for all the nodes leads us to an estimate of $0.091 for the premium. For comparison, an application of the Black-Scholes formula produces a premium of $0.095. The discrepancy between the two values is due to the imperfect approximation of a continuous distribution of prices through a discrete distribution.</w:t>
        <w:tab/>
        <w:t>The accuracy of binomial tree pricing generally improves when the number of time steps used is increased. Of course, using a very large number of time steps to produce very accurate prices has the drawback of requiring more calculation time. Hull and White (1988) demonstrate how control variate techniques can be used to accelerate the convergence of binomial option pricing methods.</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 xml:space="preserve">Binomial methods afford great flexibility. They can be easily adapted to value American options, and have also been extended to evaluate options based on two underlying instruments (for example, Boyle 1988; Amin 1991).  </w:t>
      </w:r>
      <w:r>
        <w:rPr>
          <w:color w:val="0000FF"/>
          <w:sz w:val="24"/>
        </w:rPr>
        <w:t>Methods have been developed to extend tree methods to the valuation of path dependent options.  Hull and White (1993) present a method for evaluating European and American path dependent options.  Cho and Lee (1997) and Chalasani, Jha, and Varikooty (1998) apply binomial tree methods to the pricing of Asian options.</w:t>
      </w:r>
    </w:p>
    <w:p>
      <w:pPr>
        <w:pStyle w:val="Normal"/>
        <w:numPr>
          <w:ilvl w:val="0"/>
          <w:numId w:val="0"/>
        </w:numPr>
        <w:ind w:hanging="0" w:start="0"/>
        <w:jc w:val="both"/>
        <w:rPr>
          <w:sz w:val="24"/>
        </w:rPr>
      </w:pPr>
      <w:r>
        <w:rPr>
          <w:sz w:val="24"/>
        </w:rPr>
        <w:t xml:space="preserve"> </w:t>
      </w:r>
    </w:p>
    <w:p>
      <w:pPr>
        <w:pStyle w:val="Normal"/>
        <w:numPr>
          <w:ilvl w:val="0"/>
          <w:numId w:val="0"/>
        </w:numPr>
        <w:ind w:hanging="0" w:start="0"/>
        <w:jc w:val="both"/>
        <w:rPr>
          <w:color w:val="FF00FF"/>
          <w:sz w:val="24"/>
        </w:rPr>
      </w:pPr>
      <w:r>
        <w:rPr>
          <w:color w:val="FF00FF"/>
          <w:sz w:val="24"/>
        </w:rPr>
        <w:t>One of the problems frequently encountered in pricing energy derivatives is seasonality. Binomial trees designed for equities don’t address this issue. Recently, an ingenious technique has been developed to calibrate trinomial trees to the forward price curve displaying a seasonal pattern (see Clewlow and Strickland, (1999)).</w:t>
      </w:r>
    </w:p>
    <w:p>
      <w:pPr>
        <w:pStyle w:val="Normal"/>
        <w:numPr>
          <w:ilvl w:val="0"/>
          <w:numId w:val="0"/>
        </w:numPr>
        <w:ind w:hanging="0" w:start="0"/>
        <w:jc w:val="both"/>
        <w:rPr>
          <w:color w:val="FF00FF"/>
          <w:sz w:val="24"/>
        </w:rPr>
      </w:pPr>
      <w:r>
        <w:rPr>
          <w:color w:val="FF00FF"/>
          <w:sz w:val="24"/>
        </w:rPr>
      </w:r>
    </w:p>
    <w:p>
      <w:pPr>
        <w:pStyle w:val="Normal"/>
        <w:numPr>
          <w:ilvl w:val="0"/>
          <w:numId w:val="0"/>
        </w:numPr>
        <w:ind w:hanging="0" w:start="0"/>
        <w:jc w:val="both"/>
        <w:rPr/>
      </w:pPr>
      <w:r>
        <w:rPr>
          <w:i/>
          <w:sz w:val="24"/>
        </w:rPr>
        <w:t>Finite differences and numerical integration</w:t>
      </w:r>
      <w:r>
        <w:rPr>
          <w:sz w:val="24"/>
        </w:rPr>
        <w:t xml:space="preserve"> Two approaches that price exotic options by numerically solving the partial differential equations governing the option prices are finite difference methods and numerical integration. Finite difference methods were originally applied to option valuation problems by Schwartz (1977), and Brennan and Schwartz (1978), and were extended by Courtadon (1982) and Hull and White (1990). These methods start with the partial differential equation satisfied by the option price. A grid is constructed by discretising the time-price domain. In less technical terms, this means that a grid is constructed by dividing the life of the option into small time intervals and breaking the range of possible prices down into a number of intermediate discrete prices. (One may note the similarity to the binomial tree method.) The resulting grid of allowed time and price steps allows the differential equation to be approximated by a number of difference equations for which a numerical solution can be found. Dewynne and Wilmott (1993) and Wilmott, Dewynne and Howison (1993) discuss the application of finite difference methods to valuing exotic options. These methods are generally applicable when valuing options under Black-Scholes type price evolution, and may be computationally more efficient than other methods when valuing a large number of options (Geske and Shastri, 1985).</w:t>
      </w:r>
    </w:p>
    <w:p>
      <w:pPr>
        <w:pStyle w:val="Normal"/>
        <w:numPr>
          <w:ilvl w:val="0"/>
          <w:numId w:val="0"/>
        </w:numPr>
        <w:ind w:hanging="0" w:start="0"/>
        <w:jc w:val="both"/>
        <w:rPr>
          <w:sz w:val="24"/>
        </w:rPr>
      </w:pPr>
      <w:r>
        <w:rPr>
          <w:sz w:val="24"/>
        </w:rPr>
      </w:r>
    </w:p>
    <w:p>
      <w:pPr>
        <w:pStyle w:val="Normal"/>
        <w:numPr>
          <w:ilvl w:val="0"/>
          <w:numId w:val="0"/>
        </w:numPr>
        <w:ind w:firstLine="720" w:start="0" w:end="0"/>
        <w:jc w:val="both"/>
        <w:rPr>
          <w:sz w:val="24"/>
        </w:rPr>
      </w:pPr>
      <w:r>
        <w:rPr>
          <w:sz w:val="24"/>
        </w:rPr>
        <w:t>When the option valuation problem is reduced to an integral equation, the option value can be calculated by finding the expected payoff through numerical integration. We will give an example of the application of this technique in our discussion of spread options.</w:t>
      </w:r>
    </w:p>
    <w:p>
      <w:pPr>
        <w:pStyle w:val="Normal"/>
        <w:numPr>
          <w:ilvl w:val="0"/>
          <w:numId w:val="0"/>
        </w:numPr>
        <w:ind w:firstLine="720" w:start="0" w:end="0"/>
        <w:jc w:val="both"/>
        <w:rPr/>
      </w:pPr>
      <w:r>
        <w:rPr>
          <w:i/>
          <w:sz w:val="24"/>
        </w:rPr>
        <w:t>Determination of Inputs</w:t>
      </w:r>
      <w:r>
        <w:rPr>
          <w:sz w:val="24"/>
        </w:rPr>
        <w:t xml:space="preserve"> Deriving a pricing formula for an exotic option is a necessary but not sufficient condition for the correct valuation and determination of risk parameters. Equally important are the inputs, notably volatility and, for options which depend on two or more underlying prices, correlation.</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 xml:space="preserve">Volatility can be inferred from the observed prices of options in the market. One can simply use the option pricing formula and vary volatility until the quoted option premium is matched. Another approach is to use one of the techniques for solving a nonlinear equation, such as Newton-Raphson. One complication is that implied volatility is different for options at-the-money and options in- and out-of-the-money. This phenomenon, known as the “volatility smile”, was noted in Chapter 6 and has  received a good deal of attention in the literature. Derman and Kani (1994), Dupire (1994) and Rubinstein (1994) have independently developed option-pricing models which attempt to incorporate the implied volatility smile. </w:t>
      </w:r>
      <w:r>
        <w:rPr>
          <w:color w:val="0000FF"/>
          <w:sz w:val="24"/>
        </w:rPr>
        <w:t xml:space="preserve"> The illiquidity of traded options in many energy markets may make the practical use of such models difficult, at best, if one relies on the market to provide the implied volatilities needed in the calibration of these models.</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sz w:val="24"/>
        </w:rPr>
      </w:pPr>
      <w:r>
        <w:rPr>
          <w:sz w:val="24"/>
        </w:rPr>
        <w:tab/>
        <w:t>If quoted premiums are not available, or are not reliable, one can estimate volatility from historical data. This task is not trivial and requires a combination of careful econometric analysis and common sense. The standard procedure for estimating volatility as the standard deviation of the natural logarithms of ratios of historical prices is well known; further discussion on the subject can be found in Cox and Rubinstein (1985) and Leong (1992). The price of a dual-commodity option depends on the correlation between the two underlying asset prices. Though correlation is one of the most widely used concepts in applied statistics, the use of this concept in the context of option pricing is quite difficult. First of all, correlation, like volatility, should be estimated within the framework of the assumptions made regarding the dynamics of the underlying assets’ prices. Historical volatilities are estimated as the standard deviation of the natural logarithms of the price ratios, and the same approach can be taken in the case of correlations. Practitioners tend to overlook this fact, and sometimes use correlations based on levels of the prices.</w:t>
        <w:tab/>
        <w:t>A consistent estimator of correlation is given by:</w:t>
      </w:r>
    </w:p>
    <w:p>
      <w:pPr>
        <w:pStyle w:val="EndnoteText"/>
        <w:widowControl w:val="false"/>
        <w:numPr>
          <w:ilvl w:val="0"/>
          <w:numId w:val="0"/>
        </w:numPr>
        <w:ind w:hanging="0" w:start="0"/>
        <w:jc w:val="both"/>
        <w:rPr>
          <w:sz w:val="24"/>
          <w:lang w:val="en-GB"/>
        </w:rPr>
      </w:pPr>
      <w:r>
        <w:rPr>
          <w:sz w:val="24"/>
          <w:lang w:val="en-GB"/>
        </w:rPr>
      </w:r>
    </w:p>
    <w:p>
      <w:pPr>
        <w:pStyle w:val="Normal"/>
        <w:numPr>
          <w:ilvl w:val="0"/>
          <w:numId w:val="0"/>
        </w:numPr>
        <w:ind w:hanging="0" w:start="0"/>
        <w:jc w:val="both"/>
        <w:rPr/>
      </w:pPr>
      <w:r>
        <w:rPr/>
      </w:r>
      <m:oMath xmlns:m="http://schemas.openxmlformats.org/officeDocument/2006/math">
        <m:r>
          <m:t xml:space="preserve">ρ</m:t>
        </m:r>
        <m:r>
          <m:t xml:space="preserve">=</m:t>
        </m:r>
        <m:f>
          <m:num>
            <m:r>
              <m:t xml:space="preserve">1</m:t>
            </m:r>
          </m:num>
          <m:den>
            <m:r>
              <m:t xml:space="preserve">n</m:t>
            </m:r>
            <m:r>
              <m:t xml:space="preserve">×</m:t>
            </m:r>
            <m:r>
              <m:rPr>
                <m:lit/>
                <m:nor/>
              </m:rPr>
              <m:t xml:space="preserve">dt</m:t>
            </m:r>
          </m:den>
        </m:f>
        <m:r>
          <m:t xml:space="preserve">×</m:t>
        </m:r>
        <m:f>
          <m:num>
            <m:r>
              <m:t xml:space="preserve">1</m:t>
            </m:r>
          </m:num>
          <m:den>
            <m:sSub>
              <m:e>
                <m:r>
                  <m:t xml:space="preserve">σ</m:t>
                </m:r>
              </m:e>
              <m:sub>
                <m:r>
                  <m:t xml:space="preserve">1</m:t>
                </m:r>
              </m:sub>
            </m:sSub>
            <m:sSub>
              <m:e>
                <m:r>
                  <m:t xml:space="preserve">σ</m:t>
                </m:r>
              </m:e>
              <m:sub>
                <m:r>
                  <m:t xml:space="preserve">2</m:t>
                </m:r>
              </m:sub>
            </m:sSub>
          </m:den>
        </m:f>
        <m:nary>
          <m:naryPr>
            <m:chr m:val="∑"/>
          </m:naryPr>
          <m:sub>
            <m:r>
              <m:t xml:space="preserve">i</m:t>
            </m:r>
            <m:r>
              <m:t xml:space="preserve">=</m:t>
            </m:r>
            <m:r>
              <m:t xml:space="preserve">1</m:t>
            </m:r>
          </m:sub>
          <m:sup>
            <m:r>
              <m:t xml:space="preserve">n</m:t>
            </m:r>
          </m:sup>
          <m:e>
            <m:r>
              <m:t xml:space="preserve">[</m:t>
            </m:r>
            <m:r>
              <m:rPr>
                <m:lit/>
                <m:nor/>
              </m:rPr>
              <m:t xml:space="preserve">ln</m:t>
            </m:r>
            <m:r>
              <m:t xml:space="preserve">(</m:t>
            </m:r>
            <m:sSub>
              <m:e>
                <m:r>
                  <m:t xml:space="preserve">F</m:t>
                </m:r>
              </m:e>
              <m:sub>
                <m:r>
                  <m:t xml:space="preserve">1</m:t>
                </m:r>
              </m:sub>
            </m:sSub>
            <m:r>
              <m:t xml:space="preserve">(</m:t>
            </m:r>
            <m:r>
              <m:t xml:space="preserve">i</m:t>
            </m:r>
            <m:r>
              <m:t xml:space="preserve">+</m:t>
            </m:r>
            <m:r>
              <m:t xml:space="preserve">1</m:t>
            </m:r>
            <m:f>
              <m:fPr>
                <m:type m:val="lin"/>
              </m:fPr>
              <m:num>
                <m:r>
                  <m:t xml:space="preserve">)</m:t>
                </m:r>
              </m:num>
              <m:den>
                <m:sSub>
                  <m:e>
                    <m:r>
                      <m:t xml:space="preserve">F</m:t>
                    </m:r>
                  </m:e>
                  <m:sub>
                    <m:r>
                      <m:t xml:space="preserve">1</m:t>
                    </m:r>
                  </m:sub>
                </m:sSub>
              </m:den>
            </m:f>
            <m:r>
              <m:t xml:space="preserve">(</m:t>
            </m:r>
            <m:r>
              <m:t xml:space="preserve">i</m:t>
            </m:r>
            <m:r>
              <m:t xml:space="preserve">)</m:t>
            </m:r>
            <m:r>
              <m:t xml:space="preserve">)</m:t>
            </m:r>
            <m:r>
              <m:t xml:space="preserve">−</m:t>
            </m:r>
            <m:bar>
              <m:barPr>
                <m:pos m:val="top"/>
              </m:barPr>
              <m:e>
                <m:r>
                  <m:rPr>
                    <m:lit/>
                    <m:nor/>
                  </m:rPr>
                  <m:t xml:space="preserve">ln</m:t>
                </m:r>
                <m:r>
                  <m:t xml:space="preserve">(</m:t>
                </m:r>
                <m:sSub>
                  <m:e>
                    <m:r>
                      <m:t xml:space="preserve">F</m:t>
                    </m:r>
                  </m:e>
                  <m:sub>
                    <m:r>
                      <m:t xml:space="preserve">1</m:t>
                    </m:r>
                  </m:sub>
                </m:sSub>
                <m:r>
                  <m:t xml:space="preserve">(</m:t>
                </m:r>
                <m:r>
                  <m:t xml:space="preserve">i</m:t>
                </m:r>
                <m:r>
                  <m:t xml:space="preserve">+</m:t>
                </m:r>
                <m:r>
                  <m:t xml:space="preserve">1</m:t>
                </m:r>
                <m:f>
                  <m:fPr>
                    <m:type m:val="lin"/>
                  </m:fPr>
                  <m:num>
                    <m:r>
                      <m:t xml:space="preserve">)</m:t>
                    </m:r>
                  </m:num>
                  <m:den>
                    <m:sSub>
                      <m:e>
                        <m:r>
                          <m:t xml:space="preserve">F</m:t>
                        </m:r>
                      </m:e>
                      <m:sub>
                        <m:r>
                          <m:t xml:space="preserve">1</m:t>
                        </m:r>
                      </m:sub>
                    </m:sSub>
                  </m:den>
                </m:f>
                <m:r>
                  <m:t xml:space="preserve">(</m:t>
                </m:r>
                <m:r>
                  <m:t xml:space="preserve">i</m:t>
                </m:r>
                <m:r>
                  <m:t xml:space="preserve">)</m:t>
                </m:r>
                <m:r>
                  <m:t xml:space="preserve">)</m:t>
                </m:r>
              </m:e>
            </m:bar>
          </m:e>
        </m:nary>
        <m:r>
          <m:t xml:space="preserve">]</m:t>
        </m:r>
        <m:r>
          <m:t xml:space="preserve">[</m:t>
        </m:r>
        <m:r>
          <m:rPr>
            <m:lit/>
            <m:nor/>
          </m:rPr>
          <m:t xml:space="preserve">ln</m:t>
        </m:r>
        <m:r>
          <m:t xml:space="preserve">(</m:t>
        </m:r>
        <m:sSub>
          <m:e>
            <m:r>
              <m:t xml:space="preserve">F</m:t>
            </m:r>
          </m:e>
          <m:sub>
            <m:r>
              <m:t xml:space="preserve">2</m:t>
            </m:r>
          </m:sub>
        </m:sSub>
        <m:r>
          <m:t xml:space="preserve">(</m:t>
        </m:r>
        <m:r>
          <m:t xml:space="preserve">i</m:t>
        </m:r>
        <m:r>
          <m:t xml:space="preserve">+</m:t>
        </m:r>
        <m:r>
          <m:t xml:space="preserve">1</m:t>
        </m:r>
        <m:f>
          <m:fPr>
            <m:type m:val="lin"/>
          </m:fPr>
          <m:num>
            <m:r>
              <m:t xml:space="preserve">)</m:t>
            </m:r>
          </m:num>
          <m:den>
            <m:sSub>
              <m:e>
                <m:r>
                  <m:t xml:space="preserve">F</m:t>
                </m:r>
              </m:e>
              <m:sub>
                <m:r>
                  <m:t xml:space="preserve">2</m:t>
                </m:r>
              </m:sub>
            </m:sSub>
          </m:den>
        </m:f>
        <m:r>
          <m:t xml:space="preserve">(</m:t>
        </m:r>
        <m:r>
          <m:t xml:space="preserve">i</m:t>
        </m:r>
        <m:r>
          <m:t xml:space="preserve">)</m:t>
        </m:r>
        <m:r>
          <m:t xml:space="preserve">)</m:t>
        </m:r>
        <m:r>
          <m:t xml:space="preserve">−</m:t>
        </m:r>
        <m:bar>
          <m:barPr>
            <m:pos m:val="top"/>
          </m:barPr>
          <m:e>
            <m:r>
              <m:rPr>
                <m:lit/>
                <m:nor/>
              </m:rPr>
              <m:t xml:space="preserve">ln</m:t>
            </m:r>
            <m:r>
              <m:t xml:space="preserve">(</m:t>
            </m:r>
            <m:sSub>
              <m:e>
                <m:r>
                  <m:t xml:space="preserve">F</m:t>
                </m:r>
              </m:e>
              <m:sub>
                <m:r>
                  <m:t xml:space="preserve">2</m:t>
                </m:r>
              </m:sub>
            </m:sSub>
            <m:r>
              <m:t xml:space="preserve">(</m:t>
            </m:r>
            <m:r>
              <m:t xml:space="preserve">i</m:t>
            </m:r>
            <m:r>
              <m:t xml:space="preserve">+</m:t>
            </m:r>
            <m:r>
              <m:t xml:space="preserve">1</m:t>
            </m:r>
            <m:f>
              <m:fPr>
                <m:type m:val="lin"/>
              </m:fPr>
              <m:num>
                <m:r>
                  <m:t xml:space="preserve">)</m:t>
                </m:r>
              </m:num>
              <m:den>
                <m:sSub>
                  <m:e>
                    <m:r>
                      <m:t xml:space="preserve">F</m:t>
                    </m:r>
                  </m:e>
                  <m:sub>
                    <m:r>
                      <m:t xml:space="preserve">2</m:t>
                    </m:r>
                  </m:sub>
                </m:sSub>
              </m:den>
            </m:f>
            <m:r>
              <m:t xml:space="preserve">(</m:t>
            </m:r>
            <m:r>
              <m:t xml:space="preserve">i</m:t>
            </m:r>
            <m:r>
              <m:t xml:space="preserve">)</m:t>
            </m:r>
            <m:r>
              <m:t xml:space="preserve">)</m:t>
            </m:r>
          </m:e>
        </m:bar>
        <m:r>
          <m:t xml:space="preserve">]</m:t>
        </m:r>
      </m:oMath>
      <w:r>
        <w:rPr>
          <w:sz w:val="24"/>
        </w:rPr>
        <w:t xml:space="preserve">   </w:t>
      </w:r>
      <w:r>
        <w:rPr>
          <w:sz w:val="24"/>
        </w:rPr>
        <w:t>(12)</w:t>
      </w:r>
    </w:p>
    <w:p>
      <w:pPr>
        <w:pStyle w:val="Normal"/>
        <w:numPr>
          <w:ilvl w:val="0"/>
          <w:numId w:val="0"/>
        </w:numPr>
        <w:ind w:firstLine="720" w:start="720" w:end="0"/>
        <w:jc w:val="both"/>
        <w:rPr>
          <w:sz w:val="24"/>
        </w:rPr>
      </w:pPr>
      <w:r>
        <w:rPr>
          <w:sz w:val="24"/>
        </w:rPr>
      </w:r>
    </w:p>
    <w:p>
      <w:pPr>
        <w:pStyle w:val="Normal"/>
        <w:numPr>
          <w:ilvl w:val="0"/>
          <w:numId w:val="0"/>
        </w:numPr>
        <w:ind w:hanging="0" w:start="0"/>
        <w:jc w:val="both"/>
        <w:rPr>
          <w:sz w:val="24"/>
        </w:rPr>
      </w:pPr>
      <w:r>
        <w:rPr>
          <w:sz w:val="24"/>
        </w:rPr>
        <w:t>where</w:t>
      </w:r>
    </w:p>
    <w:p>
      <w:pPr>
        <w:pStyle w:val="Normal"/>
        <w:numPr>
          <w:ilvl w:val="0"/>
          <w:numId w:val="0"/>
        </w:numPr>
        <w:ind w:hanging="0" w:start="0"/>
        <w:jc w:val="both"/>
        <w:rPr>
          <w:sz w:val="24"/>
        </w:rPr>
      </w:pPr>
      <w:r>
        <w:rPr>
          <w:sz w:val="24"/>
        </w:rPr>
        <w:t>n = the number of time periods sampled</w:t>
      </w:r>
    </w:p>
    <w:p>
      <w:pPr>
        <w:pStyle w:val="Normal"/>
        <w:numPr>
          <w:ilvl w:val="0"/>
          <w:numId w:val="0"/>
        </w:numPr>
        <w:ind w:hanging="0" w:start="0"/>
        <w:jc w:val="both"/>
        <w:rPr>
          <w:sz w:val="24"/>
        </w:rPr>
      </w:pPr>
      <w:r>
        <w:rPr>
          <w:sz w:val="24"/>
        </w:rPr>
        <w:t>dt = the time step between samples</w:t>
      </w:r>
    </w:p>
    <w:p>
      <w:pPr>
        <w:pStyle w:val="Normal"/>
        <w:numPr>
          <w:ilvl w:val="0"/>
          <w:numId w:val="0"/>
        </w:numPr>
        <w:ind w:hanging="0" w:start="0"/>
        <w:jc w:val="both"/>
        <w:rPr/>
      </w:pPr>
      <w:r>
        <w:rPr>
          <w:rFonts w:eastAsia="Symbol" w:cs="Symbol" w:ascii="Symbol" w:hAnsi="Symbol"/>
          <w:sz w:val="24"/>
        </w:rPr>
        <w:sym w:font="Symbol" w:char="f073"/>
      </w:r>
      <w:r>
        <w:rPr>
          <w:sz w:val="24"/>
        </w:rPr>
        <w:t>1 = volatility of asset 1</w:t>
      </w:r>
    </w:p>
    <w:p>
      <w:pPr>
        <w:pStyle w:val="Normal"/>
        <w:numPr>
          <w:ilvl w:val="0"/>
          <w:numId w:val="0"/>
        </w:numPr>
        <w:ind w:hanging="0" w:start="0"/>
        <w:jc w:val="both"/>
        <w:rPr/>
      </w:pPr>
      <w:r>
        <w:rPr>
          <w:rFonts w:eastAsia="Symbol" w:cs="Symbol" w:ascii="Symbol" w:hAnsi="Symbol"/>
          <w:sz w:val="24"/>
        </w:rPr>
        <w:sym w:font="Symbol" w:char="f073"/>
      </w:r>
      <w:r>
        <w:rPr>
          <w:sz w:val="24"/>
        </w:rPr>
        <w:t>2 = volatility of asset 2</w:t>
      </w:r>
    </w:p>
    <w:p>
      <w:pPr>
        <w:pStyle w:val="Normal"/>
        <w:numPr>
          <w:ilvl w:val="0"/>
          <w:numId w:val="0"/>
        </w:numPr>
        <w:ind w:hanging="0" w:start="0"/>
        <w:jc w:val="both"/>
        <w:rPr/>
      </w:pPr>
      <w:r>
        <w:rPr>
          <w:sz w:val="24"/>
        </w:rPr>
        <w:t>F</w:t>
      </w:r>
      <w:r>
        <w:rPr>
          <w:sz w:val="24"/>
          <w:vertAlign w:val="subscript"/>
        </w:rPr>
        <w:t>1</w:t>
      </w:r>
      <w:r>
        <w:rPr>
          <w:sz w:val="24"/>
        </w:rPr>
        <w:t>(i) = price of asset 1 at time period i</w:t>
      </w:r>
    </w:p>
    <w:p>
      <w:pPr>
        <w:pStyle w:val="Normal"/>
        <w:numPr>
          <w:ilvl w:val="0"/>
          <w:numId w:val="0"/>
        </w:numPr>
        <w:ind w:hanging="0" w:start="0"/>
        <w:jc w:val="both"/>
        <w:rPr/>
      </w:pPr>
      <w:r>
        <w:rPr>
          <w:sz w:val="24"/>
        </w:rPr>
        <w:t>F</w:t>
      </w:r>
      <w:r>
        <w:rPr>
          <w:sz w:val="24"/>
          <w:vertAlign w:val="subscript"/>
        </w:rPr>
        <w:t>2</w:t>
      </w:r>
      <w:r>
        <w:rPr>
          <w:sz w:val="24"/>
        </w:rPr>
        <w:t>(i) = price of asset 2 at time period i.</w:t>
      </w:r>
    </w:p>
    <w:p>
      <w:pPr>
        <w:pStyle w:val="Normal"/>
        <w:numPr>
          <w:ilvl w:val="0"/>
          <w:numId w:val="0"/>
        </w:numPr>
        <w:ind w:hanging="0" w:start="0"/>
        <w:jc w:val="both"/>
        <w:rPr>
          <w:sz w:val="24"/>
        </w:rPr>
      </w:pPr>
      <w:r>
        <w:rPr>
          <w:sz w:val="24"/>
        </w:rPr>
      </w:r>
    </w:p>
    <w:p>
      <w:pPr>
        <w:pStyle w:val="Normal"/>
        <w:numPr>
          <w:ilvl w:val="0"/>
          <w:numId w:val="0"/>
        </w:numPr>
        <w:ind w:hanging="0" w:start="0"/>
        <w:jc w:val="both"/>
        <w:rPr>
          <w:color w:val="FF00FF"/>
          <w:sz w:val="24"/>
        </w:rPr>
      </w:pPr>
      <w:r>
        <w:rPr>
          <w:color w:val="FF00FF"/>
          <w:sz w:val="24"/>
        </w:rPr>
        <w:t>Taking  natural logarithms of price ratios in the formula (12) is a conventional way of calculating price returns. The bar denotes an average.</w:t>
      </w:r>
    </w:p>
    <w:p>
      <w:pPr>
        <w:pStyle w:val="Normal"/>
        <w:numPr>
          <w:ilvl w:val="0"/>
          <w:numId w:val="0"/>
        </w:numPr>
        <w:ind w:hanging="0" w:start="0"/>
        <w:jc w:val="both"/>
        <w:rPr>
          <w:color w:val="FF00FF"/>
          <w:sz w:val="24"/>
        </w:rPr>
      </w:pPr>
      <w:r>
        <w:rPr>
          <w:color w:val="FF00FF"/>
          <w:sz w:val="24"/>
        </w:rPr>
      </w:r>
    </w:p>
    <w:p>
      <w:pPr>
        <w:pStyle w:val="Normal"/>
        <w:numPr>
          <w:ilvl w:val="0"/>
          <w:numId w:val="0"/>
        </w:numPr>
        <w:ind w:hanging="0" w:start="0"/>
        <w:jc w:val="both"/>
        <w:rPr>
          <w:color w:val="0000FF"/>
          <w:sz w:val="24"/>
        </w:rPr>
      </w:pPr>
      <w:r>
        <w:rPr>
          <w:color w:val="0000FF"/>
          <w:sz w:val="24"/>
        </w:rPr>
        <w:tab/>
        <w:t>Using accurate volatility and correlation inputs is critical when pricing dual-commodity options. Option pricing is often executed using volatilities implied in the prices of traded options. Correlations may sometimes be inferred from market option premia as well. Implied volatility can be determined from the price of a single option through iteration. Implied correlation can be found by using the prices of three options (of which, at least one must be a dual-commodity option) with similar terms by solving a system of three non-linear equations. The implied correlations and volatilities represent the market expectations of the price dynamics over the life of the option, interpreted in a risk neutral setting. If no implied values are available, one may resort to using estimates from historical prices.</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sz w:val="24"/>
        </w:rPr>
      </w:pPr>
      <w:r>
        <w:rPr>
          <w:sz w:val="24"/>
        </w:rPr>
        <w:t>Historical correlations tend to be unstable over time. This may be a manifestation of permanent changes in the market structure, random shocks, or a reflection of seasonality. The impact of seasonality is illustrated in Figure 2, which shows centred four-month correlation between crude oil and unleaded gasoline (Nymex prompt contracts) and correlation between natural gas and heating oil (Nymex prompt contracts). In the case of gasoline and crude, the correlation was affected by the Gulf War. In the case of natural gas and heating oil, correlation increases during the winter months when both prices are affected by the same underlying factor – namely, the weather.</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One of the recent developments in the estimation of correlation and volatility is the application of the GARCH technology, which was originally introduced by Engle (1982). The term GARCH denotes a generalised autoregressive conditionally heteroscedastic econometric model. This term identifies the departures from the classical regression model given by:</w:t>
      </w:r>
    </w:p>
    <w:p>
      <w:pPr>
        <w:pStyle w:val="Normal"/>
        <w:numPr>
          <w:ilvl w:val="0"/>
          <w:numId w:val="0"/>
        </w:numPr>
        <w:ind w:hanging="0" w:start="0"/>
        <w:jc w:val="both"/>
        <w:rPr>
          <w:sz w:val="24"/>
        </w:rPr>
      </w:pPr>
      <w:r>
        <w:rPr>
          <w:sz w:val="24"/>
        </w:rPr>
      </w:r>
    </w:p>
    <w:p>
      <w:pPr>
        <w:pStyle w:val="Normal"/>
        <w:numPr>
          <w:ilvl w:val="0"/>
          <w:numId w:val="0"/>
        </w:numPr>
        <w:ind w:firstLine="720" w:start="1440" w:end="0"/>
        <w:jc w:val="both"/>
        <w:rPr/>
      </w:pPr>
      <w:r>
        <w:rPr>
          <w:i/>
          <w:sz w:val="24"/>
        </w:rPr>
        <w:object w:dxaOrig="1520" w:dyaOrig="2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6pt;height:14pt" filled="f" o:ole="">
            <v:imagedata r:id="rId13" o:title=""/>
          </v:shape>
          <o:OLEObject Type="Embed" ProgID="" ShapeID="ole_rId12" DrawAspect="Content" ObjectID="_1824925409" r:id="rId12"/>
        </w:object>
      </w:r>
      <w:r>
        <w:rPr>
          <w:sz w:val="24"/>
        </w:rPr>
        <w:t xml:space="preserve">  </w:t>
      </w:r>
      <w:r>
        <w:rPr>
          <w:sz w:val="24"/>
        </w:rPr>
        <w:tab/>
        <w:tab/>
        <w:tab/>
        <w:tab/>
        <w:tab/>
        <w:t>(13)</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rFonts w:eastAsia="Symbol" w:cs="Symbol" w:ascii="Symbol" w:hAnsi="Symbol"/>
          <w:sz w:val="24"/>
        </w:rPr>
        <w:sym w:font="Symbol" w:char="f061"/>
      </w:r>
      <w:r>
        <w:rPr>
          <w:sz w:val="24"/>
        </w:rPr>
        <w:t xml:space="preserve">, </w:t>
      </w:r>
      <w:r>
        <w:rPr>
          <w:rFonts w:eastAsia="Symbol" w:cs="Symbol" w:ascii="Symbol" w:hAnsi="Symbol"/>
          <w:sz w:val="24"/>
        </w:rPr>
        <w:sym w:font="Symbol" w:char="f062"/>
      </w:r>
      <w:r>
        <w:rPr>
          <w:sz w:val="24"/>
        </w:rPr>
        <w:t xml:space="preserve"> = regression coefficients,</w:t>
      </w:r>
    </w:p>
    <w:p>
      <w:pPr>
        <w:pStyle w:val="Normal"/>
        <w:numPr>
          <w:ilvl w:val="0"/>
          <w:numId w:val="0"/>
        </w:numPr>
        <w:ind w:hanging="0" w:start="0"/>
        <w:jc w:val="both"/>
        <w:rPr/>
      </w:pPr>
      <w:r>
        <w:rPr>
          <w:sz w:val="24"/>
        </w:rPr>
        <w:t>y</w:t>
      </w:r>
      <w:r>
        <w:rPr>
          <w:sz w:val="24"/>
          <w:vertAlign w:val="subscript"/>
        </w:rPr>
        <w:t>t</w:t>
      </w:r>
      <w:r>
        <w:rPr>
          <w:sz w:val="24"/>
        </w:rPr>
        <w:t xml:space="preserve"> = dependent variable at time t,</w:t>
      </w:r>
    </w:p>
    <w:p>
      <w:pPr>
        <w:pStyle w:val="Normal"/>
        <w:numPr>
          <w:ilvl w:val="0"/>
          <w:numId w:val="0"/>
        </w:numPr>
        <w:ind w:hanging="0" w:start="0"/>
        <w:jc w:val="both"/>
        <w:rPr/>
      </w:pPr>
      <w:r>
        <w:rPr>
          <w:sz w:val="24"/>
        </w:rPr>
        <w:t>x</w:t>
      </w:r>
      <w:r>
        <w:rPr>
          <w:sz w:val="24"/>
          <w:vertAlign w:val="subscript"/>
        </w:rPr>
        <w:t>t</w:t>
      </w:r>
      <w:r>
        <w:rPr>
          <w:sz w:val="24"/>
        </w:rPr>
        <w:t xml:space="preserve"> = independent variable at time t,</w:t>
      </w:r>
    </w:p>
    <w:p>
      <w:pPr>
        <w:pStyle w:val="Normal"/>
        <w:numPr>
          <w:ilvl w:val="0"/>
          <w:numId w:val="0"/>
        </w:numPr>
        <w:ind w:hanging="0" w:start="0"/>
        <w:jc w:val="both"/>
        <w:rPr/>
      </w:pPr>
      <w:r>
        <w:rPr>
          <w:sz w:val="24"/>
        </w:rPr>
        <w:t xml:space="preserve">and </w:t>
      </w:r>
      <w:r>
        <w:rPr>
          <w:rFonts w:eastAsia="Symbol" w:cs="Symbol" w:ascii="Symbol" w:hAnsi="Symbol"/>
          <w:sz w:val="24"/>
        </w:rPr>
        <w:sym w:font="Symbol" w:char="f065"/>
      </w:r>
      <w:r>
        <w:rPr>
          <w:sz w:val="24"/>
          <w:vertAlign w:val="subscript"/>
        </w:rPr>
        <w:t>t</w:t>
      </w:r>
      <w:r>
        <w:rPr>
          <w:sz w:val="24"/>
        </w:rPr>
        <w:t xml:space="preserve"> = random noise (error) term at time t.</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 xml:space="preserve">In this classical regression model, the random terms are normally distributed and uncorrelated (that is, </w:t>
      </w:r>
      <w:r>
        <w:rPr>
          <w:rFonts w:eastAsia="Symbol" w:cs="Symbol" w:ascii="Symbol" w:hAnsi="Symbol"/>
          <w:sz w:val="24"/>
        </w:rPr>
        <w:sym w:font="Symbol" w:char="f065"/>
      </w:r>
      <w:r>
        <w:rPr>
          <w:sz w:val="24"/>
          <w:vertAlign w:val="subscript"/>
        </w:rPr>
        <w:t>t</w:t>
      </w:r>
      <w:r>
        <w:rPr>
          <w:sz w:val="24"/>
        </w:rPr>
        <w:t xml:space="preserve"> ~N(0,</w:t>
      </w:r>
      <w:r>
        <w:rPr>
          <w:rFonts w:eastAsia="Symbol" w:cs="Symbol" w:ascii="Symbol" w:hAnsi="Symbol"/>
          <w:sz w:val="24"/>
        </w:rPr>
        <w:sym w:font="Symbol" w:char="f073"/>
      </w:r>
      <w:r>
        <w:rPr>
          <w:sz w:val="24"/>
        </w:rPr>
        <w:t xml:space="preserve">) for each t and </w:t>
      </w:r>
      <w:r>
        <w:rPr>
          <w:i/>
          <w:sz w:val="24"/>
        </w:rPr>
        <w:object w:dxaOrig="1140" w:dyaOrig="2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7pt;height:13pt" filled="f" o:ole="">
            <v:imagedata r:id="rId15" o:title=""/>
          </v:shape>
          <o:OLEObject Type="Embed" ProgID="" ShapeID="ole_rId14" DrawAspect="Content" ObjectID="_47752266" r:id="rId14"/>
        </w:object>
      </w:r>
      <w:r>
        <w:rPr>
          <w:sz w:val="24"/>
        </w:rPr>
        <w:t xml:space="preserve"> for each i,j). The constant variance assumption for the normal distribution of random terms is known as homoskedasticity. This assumption is often violated in the case of financial time series, and special estimation techniques must be employed. The ARCH model postulates that the variance of the error term is time dependent and given, for the ARCH(q) model, by:</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ab/>
      </w:r>
      <w:r>
        <w:rPr>
          <w:i/>
          <w:sz w:val="24"/>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ε</m:t>
            </m:r>
          </m:e>
          <m:sub>
            <m:r>
              <m:t xml:space="preserve">t</m:t>
            </m:r>
            <m:r>
              <m:t xml:space="preserve">−</m:t>
            </m:r>
            <m:r>
              <m:t xml:space="preserve">1</m:t>
            </m:r>
          </m:sub>
          <m:sup>
            <m:r>
              <m:t xml:space="preserve">2</m:t>
            </m:r>
          </m:sup>
        </m:sSubSup>
        <m:r>
          <m:t xml:space="preserve">+</m:t>
        </m:r>
        <m:sSub>
          <m:e>
            <m:r>
              <m:t xml:space="preserve">α</m:t>
            </m:r>
          </m:e>
          <m:sub>
            <m:r>
              <m:t xml:space="preserve">2</m:t>
            </m:r>
          </m:sub>
        </m:sSub>
        <m:sSubSup>
          <m:e>
            <m:r>
              <m:t xml:space="preserve">ε</m:t>
            </m:r>
          </m:e>
          <m:sub>
            <m:r>
              <m:t xml:space="preserve">t</m:t>
            </m:r>
            <m:r>
              <m:t xml:space="preserve">−</m:t>
            </m:r>
            <m:r>
              <m:t xml:space="preserve">2</m:t>
            </m:r>
          </m:sub>
          <m:sup>
            <m:r>
              <m:t xml:space="preserve">2</m:t>
            </m:r>
          </m:sup>
        </m:sSubSup>
        <m:r>
          <m:t xml:space="preserve">+</m:t>
        </m:r>
        <m:r>
          <m:rPr>
            <m:lit/>
            <m:nor/>
          </m:rPr>
          <m:t xml:space="preserve">.</m:t>
        </m:r>
        <m:r>
          <m:rPr>
            <m:lit/>
            <m:nor/>
          </m:rPr>
          <m:t xml:space="preserve">.</m:t>
        </m:r>
        <m:r>
          <m:rPr>
            <m:lit/>
            <m:nor/>
          </m:rPr>
          <m:t xml:space="preserve">.</m:t>
        </m:r>
        <m:r>
          <m:t xml:space="preserve">+</m:t>
        </m:r>
        <m:sSub>
          <m:e>
            <m:r>
              <m:t xml:space="preserve">α</m:t>
            </m:r>
          </m:e>
          <m:sub>
            <m:r>
              <m:t xml:space="preserve">q</m:t>
            </m:r>
          </m:sub>
        </m:sSub>
        <m:sSubSup>
          <m:e>
            <m:r>
              <m:t xml:space="preserve">ε</m:t>
            </m:r>
          </m:e>
          <m:sub>
            <m:r>
              <m:t xml:space="preserve">t</m:t>
            </m:r>
            <m:r>
              <m:t xml:space="preserve">−</m:t>
            </m:r>
            <m:r>
              <m:t xml:space="preserve">q</m:t>
            </m:r>
          </m:sub>
          <m:sup>
            <m:r>
              <m:t xml:space="preserve">2</m:t>
            </m:r>
          </m:sup>
        </m:sSubSup>
      </m:oMath>
      <w:r>
        <w:rPr>
          <w:sz w:val="24"/>
        </w:rPr>
        <w:tab/>
        <w:tab/>
        <w:tab/>
        <w:t>(14)</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 xml:space="preserve">where </w:t>
      </w:r>
      <w:r>
        <w:rPr>
          <w:rFonts w:eastAsia="Symbol" w:cs="Symbol" w:ascii="Symbol" w:hAnsi="Symbol"/>
          <w:b/>
          <w:sz w:val="24"/>
        </w:rPr>
        <w:sym w:font="Symbol" w:char="f061"/>
      </w:r>
      <w:r>
        <w:rPr>
          <w:sz w:val="24"/>
        </w:rPr>
        <w:t xml:space="preserve"> is a vector of unknown parameters. The GARCH(p,q) model, introduced by Bollerslev (1986), assumes that the distribution of the error term, </w:t>
      </w:r>
      <w:r>
        <w:rPr>
          <w:rFonts w:eastAsia="Symbol" w:cs="Symbol" w:ascii="Symbol" w:hAnsi="Symbol"/>
          <w:sz w:val="24"/>
        </w:rPr>
        <w:sym w:font="Symbol" w:char="f065"/>
      </w:r>
      <w:r>
        <w:rPr>
          <w:sz w:val="24"/>
          <w:vertAlign w:val="subscript"/>
        </w:rPr>
        <w:t>t</w:t>
      </w:r>
      <w:r>
        <w:rPr>
          <w:sz w:val="24"/>
        </w:rPr>
        <w:t xml:space="preserve"> , conditional upon information </w:t>
      </w:r>
      <w:r>
        <w:rPr>
          <w:rFonts w:eastAsia="Symbol" w:cs="Symbol" w:ascii="Symbol" w:hAnsi="Symbol"/>
          <w:sz w:val="24"/>
        </w:rPr>
        <w:sym w:font="Symbol" w:char="f079"/>
      </w:r>
      <w:r>
        <w:rPr>
          <w:sz w:val="24"/>
          <w:vertAlign w:val="subscript"/>
        </w:rPr>
        <w:t>t</w:t>
      </w:r>
      <w:r>
        <w:rPr>
          <w:sz w:val="24"/>
        </w:rPr>
        <w:t xml:space="preserve"> available at period t, is given by:</w:t>
      </w:r>
    </w:p>
    <w:p>
      <w:pPr>
        <w:pStyle w:val="Normal"/>
        <w:numPr>
          <w:ilvl w:val="0"/>
          <w:numId w:val="0"/>
        </w:numPr>
        <w:ind w:hanging="0" w:start="0"/>
        <w:jc w:val="both"/>
        <w:rPr/>
      </w:pPr>
      <w:r>
        <w:rPr>
          <w:sz w:val="24"/>
        </w:rPr>
        <w:tab/>
        <w:tab/>
      </w:r>
      <w:r>
        <w:rPr>
          <w:rFonts w:eastAsia="Symbol" w:cs="Symbol" w:ascii="Symbol" w:hAnsi="Symbol"/>
          <w:sz w:val="24"/>
        </w:rPr>
        <w:sym w:font="Symbol" w:char="f065"/>
      </w:r>
      <w:r>
        <w:rPr>
          <w:sz w:val="24"/>
          <w:vertAlign w:val="subscript"/>
        </w:rPr>
        <w:t>t</w:t>
      </w:r>
      <w:r>
        <w:rPr>
          <w:sz w:val="24"/>
        </w:rPr>
        <w:t>|</w:t>
      </w:r>
      <w:r>
        <w:rPr>
          <w:rFonts w:eastAsia="Symbol" w:cs="Symbol" w:ascii="Symbol" w:hAnsi="Symbol"/>
          <w:sz w:val="24"/>
        </w:rPr>
        <w:sym w:font="Symbol" w:char="f079"/>
      </w:r>
      <w:r>
        <w:rPr>
          <w:sz w:val="24"/>
          <w:vertAlign w:val="subscript"/>
        </w:rPr>
        <w:t>t</w:t>
      </w:r>
      <w:r>
        <w:rPr>
          <w:sz w:val="24"/>
        </w:rPr>
        <w:t xml:space="preserve"> ~ N(0, </w:t>
      </w:r>
      <w:r>
        <w:rPr>
          <w:rFonts w:eastAsia="Symbol" w:cs="Symbol" w:ascii="Symbol" w:hAnsi="Symbol"/>
          <w:sz w:val="24"/>
        </w:rPr>
        <w:sym w:font="Symbol" w:char="f073"/>
      </w:r>
      <w:r>
        <w:rPr>
          <w:sz w:val="24"/>
          <w:vertAlign w:val="subscript"/>
        </w:rPr>
        <w:t>t</w:t>
      </w:r>
      <w:r>
        <w:rPr>
          <w:sz w:val="24"/>
          <w:vertAlign w:val="superscript"/>
        </w:rPr>
        <w:t>2</w:t>
      </w:r>
      <w:r>
        <w:rPr>
          <w:sz w:val="24"/>
        </w:rPr>
        <w:t>)    with</w:t>
      </w:r>
    </w:p>
    <w:p>
      <w:pPr>
        <w:pStyle w:val="Normal"/>
        <w:numPr>
          <w:ilvl w:val="0"/>
          <w:numId w:val="0"/>
        </w:numPr>
        <w:ind w:hanging="0" w:start="0"/>
        <w:jc w:val="both"/>
        <w:rPr/>
      </w:pPr>
      <w:r>
        <w:rPr>
          <w:i/>
          <w:sz w:val="24"/>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ε</m:t>
            </m:r>
          </m:e>
          <m:sub>
            <m:r>
              <m:t xml:space="preserve">t</m:t>
            </m:r>
            <m:r>
              <m:t xml:space="preserve">−</m:t>
            </m:r>
            <m:r>
              <m:t xml:space="preserve">1</m:t>
            </m:r>
          </m:sub>
          <m:sup>
            <m:r>
              <m:t xml:space="preserve">2</m:t>
            </m:r>
          </m:sup>
        </m:sSubSup>
        <m:r>
          <m:t xml:space="preserve">+</m:t>
        </m:r>
        <m:sSub>
          <m:e>
            <m:r>
              <m:t xml:space="preserve">α</m:t>
            </m:r>
          </m:e>
          <m:sub>
            <m:r>
              <m:t xml:space="preserve">2</m:t>
            </m:r>
          </m:sub>
        </m:sSub>
        <m:sSubSup>
          <m:e>
            <m:r>
              <m:t xml:space="preserve">ε</m:t>
            </m:r>
          </m:e>
          <m:sub>
            <m:r>
              <m:t xml:space="preserve">t</m:t>
            </m:r>
            <m:r>
              <m:t xml:space="preserve">−</m:t>
            </m:r>
            <m:r>
              <m:t xml:space="preserve">2</m:t>
            </m:r>
          </m:sub>
          <m:sup>
            <m:r>
              <m:t xml:space="preserve">2</m:t>
            </m:r>
          </m:sup>
        </m:sSubSup>
        <m:r>
          <m:t xml:space="preserve">+</m:t>
        </m:r>
        <m:r>
          <m:rPr>
            <m:lit/>
            <m:nor/>
          </m:rPr>
          <m:t xml:space="preserve">.</m:t>
        </m:r>
        <m:r>
          <m:rPr>
            <m:lit/>
            <m:nor/>
          </m:rPr>
          <m:t xml:space="preserve">.</m:t>
        </m:r>
        <m:r>
          <m:rPr>
            <m:lit/>
            <m:nor/>
          </m:rPr>
          <m:t xml:space="preserve">.</m:t>
        </m:r>
        <m:r>
          <m:t xml:space="preserve">+</m:t>
        </m:r>
        <m:sSub>
          <m:e>
            <m:r>
              <m:t xml:space="preserve">α</m:t>
            </m:r>
          </m:e>
          <m:sub>
            <m:r>
              <m:t xml:space="preserve">q</m:t>
            </m:r>
          </m:sub>
        </m:sSub>
        <m:sSubSup>
          <m:e>
            <m:r>
              <m:t xml:space="preserve">ε</m:t>
            </m:r>
          </m:e>
          <m:sub>
            <m:r>
              <m:t xml:space="preserve">t</m:t>
            </m:r>
            <m:r>
              <m:t xml:space="preserve">−</m:t>
            </m:r>
            <m:r>
              <m:t xml:space="preserve">q</m:t>
            </m:r>
          </m:sub>
          <m:sup>
            <m:r>
              <m:t xml:space="preserve">2</m:t>
            </m:r>
          </m:sup>
        </m:sSubSup>
        <m:r>
          <m:t xml:space="preserve">+</m:t>
        </m:r>
        <m:sSub>
          <m:e>
            <m:r>
              <m:t xml:space="preserve">δ</m:t>
            </m:r>
          </m:e>
          <m:sub>
            <m:r>
              <m:t xml:space="preserve">0</m:t>
            </m:r>
          </m:sub>
        </m:sSub>
        <m:r>
          <m:t xml:space="preserve">+</m:t>
        </m:r>
        <m:sSub>
          <m:e>
            <m:r>
              <m:t xml:space="preserve">δ</m:t>
            </m:r>
          </m:e>
          <m:sub>
            <m:r>
              <m:t xml:space="preserve">1</m:t>
            </m:r>
          </m:sub>
        </m:sSub>
        <m:sSubSup>
          <m:e>
            <m:r>
              <m:t xml:space="preserve">σ</m:t>
            </m:r>
          </m:e>
          <m:sub>
            <m:r>
              <m:t xml:space="preserve">t</m:t>
            </m:r>
            <m:r>
              <m:t xml:space="preserve">−</m:t>
            </m:r>
            <m:r>
              <m:t xml:space="preserve">1</m:t>
            </m:r>
          </m:sub>
          <m:sup>
            <m:r>
              <m:t xml:space="preserve">2</m:t>
            </m:r>
          </m:sup>
        </m:sSubSup>
        <m:r>
          <m:t xml:space="preserve">+</m:t>
        </m:r>
        <m:sSub>
          <m:e>
            <m:r>
              <m:t xml:space="preserve">δ</m:t>
            </m:r>
          </m:e>
          <m:sub>
            <m:r>
              <m:t xml:space="preserve">2</m:t>
            </m:r>
          </m:sub>
        </m:sSub>
        <m:sSubSup>
          <m:e>
            <m:r>
              <m:t xml:space="preserve">σ</m:t>
            </m:r>
          </m:e>
          <m:sub>
            <m:r>
              <m:t xml:space="preserve">t</m:t>
            </m:r>
            <m:r>
              <m:t xml:space="preserve">−</m:t>
            </m:r>
            <m:r>
              <m:t xml:space="preserve">2</m:t>
            </m:r>
          </m:sub>
          <m:sup>
            <m:r>
              <m:t xml:space="preserve">2</m:t>
            </m:r>
          </m:sup>
        </m:sSubSup>
        <m:r>
          <m:t xml:space="preserve">+</m:t>
        </m:r>
        <m:r>
          <m:rPr>
            <m:lit/>
            <m:nor/>
          </m:rPr>
          <m:t xml:space="preserve">.</m:t>
        </m:r>
        <m:r>
          <m:rPr>
            <m:lit/>
            <m:nor/>
          </m:rPr>
          <m:t xml:space="preserve">.</m:t>
        </m:r>
        <m:r>
          <m:rPr>
            <m:lit/>
            <m:nor/>
          </m:rPr>
          <m:t xml:space="preserve">.</m:t>
        </m:r>
        <m:r>
          <m:t xml:space="preserve">+</m:t>
        </m:r>
        <m:sSub>
          <m:e>
            <m:r>
              <m:t xml:space="preserve">δ</m:t>
            </m:r>
          </m:e>
          <m:sub>
            <m:r>
              <m:t xml:space="preserve">q</m:t>
            </m:r>
          </m:sub>
        </m:sSub>
        <m:sSubSup>
          <m:e>
            <m:r>
              <m:t xml:space="preserve">σ</m:t>
            </m:r>
          </m:e>
          <m:sub>
            <m:r>
              <m:t xml:space="preserve">t</m:t>
            </m:r>
            <m:r>
              <m:t xml:space="preserve">−</m:t>
            </m:r>
            <m:r>
              <m:t xml:space="preserve">p</m:t>
            </m:r>
          </m:sub>
          <m:sup>
            <m:r>
              <m:t xml:space="preserve">2</m:t>
            </m:r>
          </m:sup>
        </m:sSubSup>
      </m:oMath>
      <w:r>
        <w:rPr>
          <w:sz w:val="24"/>
        </w:rPr>
        <w:tab/>
        <w:tab/>
        <w:t>(15)</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 xml:space="preserve">where </w:t>
      </w:r>
      <w:r>
        <w:rPr>
          <w:rFonts w:eastAsia="Symbol" w:cs="Symbol" w:ascii="Symbol" w:hAnsi="Symbol"/>
          <w:b/>
          <w:sz w:val="24"/>
        </w:rPr>
        <w:sym w:font="Symbol" w:char="f061"/>
      </w:r>
      <w:r>
        <w:rPr>
          <w:sz w:val="24"/>
        </w:rPr>
        <w:t xml:space="preserve"> and </w:t>
      </w:r>
      <w:r>
        <w:rPr>
          <w:rFonts w:eastAsia="Symbol" w:cs="Symbol" w:ascii="Symbol" w:hAnsi="Symbol"/>
          <w:b/>
          <w:sz w:val="24"/>
        </w:rPr>
        <w:sym w:font="Symbol" w:char="f064"/>
      </w:r>
      <w:r>
        <w:rPr>
          <w:sz w:val="24"/>
        </w:rPr>
        <w:t xml:space="preserve"> are vectors of unknown parameters. Use of this model requires non-linear regression techniques and involves a relatively high degree of econometric sophistication. It seems, however, that the GARCH technology is rapidly gaining acceptance in the dealer community.</w:t>
      </w:r>
      <w:r>
        <w:rPr>
          <w:sz w:val="24"/>
          <w:vertAlign w:val="superscript"/>
        </w:rPr>
        <w:t>7</w:t>
      </w:r>
    </w:p>
    <w:p>
      <w:pPr>
        <w:pStyle w:val="Normal"/>
        <w:numPr>
          <w:ilvl w:val="0"/>
          <w:numId w:val="0"/>
        </w:numPr>
        <w:ind w:hanging="0" w:start="0"/>
        <w:jc w:val="both"/>
        <w:rPr>
          <w:sz w:val="24"/>
          <w:vertAlign w:val="superscript"/>
        </w:rPr>
      </w:pPr>
      <w:r>
        <w:rPr>
          <w:sz w:val="24"/>
          <w:vertAlign w:val="superscript"/>
        </w:rPr>
      </w:r>
    </w:p>
    <w:p>
      <w:pPr>
        <w:pStyle w:val="Heading1"/>
        <w:numPr>
          <w:ilvl w:val="0"/>
          <w:numId w:val="0"/>
        </w:numPr>
        <w:ind w:hanging="0" w:start="0"/>
        <w:rPr>
          <w:rFonts w:ascii="Times New Roman" w:hAnsi="Times New Roman" w:cs="Times New Roman"/>
        </w:rPr>
      </w:pPr>
      <w:r>
        <w:rPr>
          <w:rFonts w:cs="Times New Roman" w:ascii="Times New Roman" w:hAnsi="Times New Roman"/>
        </w:rPr>
        <w:t>Path-dependent options</w:t>
      </w:r>
    </w:p>
    <w:p>
      <w:pPr>
        <w:pStyle w:val="Normal"/>
        <w:numPr>
          <w:ilvl w:val="0"/>
          <w:numId w:val="0"/>
        </w:numPr>
        <w:ind w:hanging="0" w:start="0"/>
        <w:jc w:val="both"/>
        <w:rPr>
          <w:rFonts w:ascii="Times New Roman" w:hAnsi="Times New Roman" w:cs="Times New Roman"/>
          <w:b/>
          <w:sz w:val="24"/>
        </w:rPr>
      </w:pPr>
      <w:r>
        <w:rPr>
          <w:rFonts w:cs="Times New Roman"/>
          <w:b/>
          <w:sz w:val="24"/>
        </w:rPr>
      </w:r>
    </w:p>
    <w:p>
      <w:pPr>
        <w:pStyle w:val="Normal"/>
        <w:numPr>
          <w:ilvl w:val="0"/>
          <w:numId w:val="0"/>
        </w:numPr>
        <w:ind w:hanging="0" w:start="0"/>
        <w:jc w:val="both"/>
        <w:rPr>
          <w:sz w:val="24"/>
        </w:rPr>
      </w:pPr>
      <w:r>
        <w:rPr>
          <w:sz w:val="24"/>
        </w:rPr>
        <w:t>Path-dependent options have a payoff that is dependent on the price history of the underlying over part or all of the life of the option. Our review will be limited to Asian options, lookbacks and related contracts, and barrier options.</w:t>
      </w:r>
    </w:p>
    <w:p>
      <w:pPr>
        <w:pStyle w:val="Normal"/>
        <w:numPr>
          <w:ilvl w:val="0"/>
          <w:numId w:val="0"/>
        </w:numPr>
        <w:ind w:hanging="0" w:start="0"/>
        <w:jc w:val="both"/>
        <w:rPr>
          <w:sz w:val="24"/>
        </w:rPr>
      </w:pPr>
      <w:r>
        <w:rPr>
          <w:sz w:val="24"/>
        </w:rPr>
      </w:r>
    </w:p>
    <w:p>
      <w:pPr>
        <w:pStyle w:val="Normal"/>
        <w:numPr>
          <w:ilvl w:val="0"/>
          <w:numId w:val="0"/>
        </w:numPr>
        <w:ind w:hanging="0" w:start="0"/>
        <w:jc w:val="both"/>
        <w:rPr>
          <w:b/>
          <w:sz w:val="24"/>
        </w:rPr>
      </w:pPr>
      <w:r>
        <w:rPr>
          <w:b/>
          <w:sz w:val="24"/>
        </w:rPr>
        <w:t>Asian Options</w:t>
      </w:r>
    </w:p>
    <w:p>
      <w:pPr>
        <w:pStyle w:val="Normal"/>
        <w:numPr>
          <w:ilvl w:val="0"/>
          <w:numId w:val="0"/>
        </w:numPr>
        <w:ind w:hanging="0" w:start="0"/>
        <w:jc w:val="both"/>
        <w:rPr>
          <w:b/>
          <w:sz w:val="24"/>
        </w:rPr>
      </w:pPr>
      <w:r>
        <w:rPr>
          <w:b/>
          <w:sz w:val="24"/>
        </w:rPr>
      </w:r>
    </w:p>
    <w:p>
      <w:pPr>
        <w:pStyle w:val="Normal"/>
        <w:numPr>
          <w:ilvl w:val="0"/>
          <w:numId w:val="0"/>
        </w:numPr>
        <w:ind w:hanging="0" w:start="0"/>
        <w:jc w:val="both"/>
        <w:rPr>
          <w:sz w:val="24"/>
        </w:rPr>
      </w:pPr>
      <w:r>
        <w:rPr>
          <w:sz w:val="24"/>
        </w:rPr>
        <w:t xml:space="preserve">Asian options have payoffs that depend on an average of prices over a period of time. For </w:t>
      </w:r>
    </w:p>
    <w:p>
      <w:pPr>
        <w:pStyle w:val="Normal"/>
        <w:numPr>
          <w:ilvl w:val="0"/>
          <w:numId w:val="0"/>
        </w:numPr>
        <w:ind w:hanging="0" w:start="0"/>
        <w:jc w:val="both"/>
        <w:rPr>
          <w:sz w:val="24"/>
        </w:rPr>
      </w:pPr>
      <w:r>
        <w:rPr>
          <w:sz w:val="24"/>
        </w:rPr>
        <w:t xml:space="preserve">a call, the payoff of an Asian option is given by max(avg(F)-K,0); for an Asian put the payoff is max(K-avg(F),0) where K is the strike price and avg(F) is the average price over the specified period.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The averaging period may correspond to the entire life of the option, or it can be shorter. Many contracts in the natural gas industry, for example, are based on the average closing prices on the last two or three days of trading of the first available Nymex contract. If an Asian option is traded when it is within its averaging period, pricing the option requires supplying the average-to-date price of the underlying. For such options, averaging effectively starts, from the point of view of the buyer, prior to the purchase of the contract. Averaging is typically calculated using an arithmetic average. A weighted average may be used to better fit the risk exposure of the option buyer. For example, a weighted average Asian may be used to hedge a series of planned fuel purchases which vary in volume. The weights may be chosen to vary inversely with the time until the option expires in order to give more importance to market conditions near expiration. An alternative to arithmetic averaging is to use a geometric average, defined as the nth root of the product of n prices. The latter is not usually used in the definition of option contracts, but may be very useful in numerical algorithms used for pricing.</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The average-strike option presents another type of averaging option. An average-strike option has a payoff which is defined as max(F-avg(F),0) for the call and max(avg(F)-F,0) for the put. For this option, the average becomes a strike price which is compared against the underlying’s price on the expiration date in order to determine the payoff. The comments made above regarding calculation of the average apply in this case also. The volatility of an average price is lower than that of the underlying prices used in the calculation of the average. Because of this relationship, an Asian option at inception is much like a European option with a lower volatility. As a result, an Asian option will be less expensive than the corresponding European option, since premiums increase with increasing volatility. In addition to the lower cost, another advantage of Asian options is that their payoff is less sensitive to any extreme market conditions that may prevail on the expiration day (due to random shocks or outright manipulation).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Asian options are extremely important in the energy markets since, as we mentioned in our introduction, they were used long before the name and the pricing algorithms were invented. Asian options offer several advantages to both the producer and the consumer of energy products. Many buyers, such as utilities, are interested in hedging average fuel costs as the tariffs they charge to customers are based on average purchase prices. The producers are often interested in meeting budget targets that are based on average prices of energy products over the planning period. Asian options fit their risk profiles and allow them to achieve their goals at reduced costs, as these contracts are typically less expensive than the corresponding European options. From the point of view of the option writer, Asian options are preferred products because they are easier to hedge. Asian options with long averaging periods do not have the high gamma risk, which may befall at-the-money European options near expiry. After the Asian option enters its averaging period, and the average begins to “set”, the gamma risk of the option decreases and approaches zero near the end of averaging for options with reasonably long averaging periods. (If the averaging period is only two or three days, the gamma may still be sizable at expiration.). </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 xml:space="preserve">Pricing algorithms for Asian options have received a great deal of attention in recent years. Asian options cannot be priced using the Black-Scholes formula since an average of prices will not be lognormally distributed even though the individual component prices are. Since there is no known closed-form solution for the distribution of the average, Asian options are priced using numerical solutions or approximations. A number of different pricing algorithms have been suggested over the last few years and we shall mention a few without going into details. </w:t>
      </w:r>
      <w:r>
        <w:rPr>
          <w:color w:val="00FFFF"/>
          <w:sz w:val="24"/>
        </w:rPr>
        <w:t xml:space="preserve">Levy and Turnbull (1992) give a more comprehensive review of Asian pricing methods. </w:t>
      </w:r>
    </w:p>
    <w:p>
      <w:pPr>
        <w:pStyle w:val="Normal"/>
        <w:numPr>
          <w:ilvl w:val="0"/>
          <w:numId w:val="0"/>
        </w:numPr>
        <w:ind w:hanging="0" w:start="0"/>
        <w:jc w:val="both"/>
        <w:rPr>
          <w:color w:val="00FFFF"/>
          <w:sz w:val="24"/>
        </w:rPr>
      </w:pPr>
      <w:r>
        <w:rPr>
          <w:color w:val="00FFFF"/>
          <w:sz w:val="24"/>
        </w:rPr>
      </w:r>
    </w:p>
    <w:p>
      <w:pPr>
        <w:pStyle w:val="Normal"/>
        <w:numPr>
          <w:ilvl w:val="0"/>
          <w:numId w:val="0"/>
        </w:numPr>
        <w:ind w:firstLine="720" w:start="0" w:end="0"/>
        <w:jc w:val="both"/>
        <w:rPr/>
      </w:pPr>
      <w:r>
        <w:rPr>
          <w:color w:val="FF00FF"/>
          <w:sz w:val="24"/>
        </w:rPr>
        <w:t>The valuation methods for Asian options are based either on the application of numerical techniques or on closed form approximations to the true value.</w:t>
      </w:r>
      <w:r>
        <w:rPr>
          <w:sz w:val="24"/>
        </w:rPr>
        <w:t xml:space="preserve"> The Monte Carlo approach can be used to price almost any option, and it is natural to apply it to Asian options in the absence of better ideas. Numerical procedures can be made more efficient by using variance reduction techniques, which allow reduction in the number of the simulations necessary for the desired precision. A popular approach is the use of control variates, suggested first by Boyle (1977), as a general option-pricing tool. This approach exploits, in this case, the fact that a closed-form expression, similar to the Black-Scholes solution, exists for pricing an option defined in terms of a geometric Asian payoffs. Enhanced simulation technology uses the history of prices for each path to calculate both the arithmetic and geometric Asian payoffs. The difference of these two payoffs is calculated and saved. At the end of the simulation process, the mean value of this difference is found and added to the known premium of the Asian option, defined in terms of the geometric average. </w:t>
      </w:r>
      <w:r>
        <w:rPr>
          <w:color w:val="FF00FF"/>
          <w:sz w:val="24"/>
        </w:rPr>
        <w:t>The reader can find more details of application of this technique in the paper by Kemma and Vorst (1990) who were the first to investigate the application of Monte Carlo techniques in this area.</w:t>
      </w:r>
    </w:p>
    <w:p>
      <w:pPr>
        <w:pStyle w:val="Normal"/>
        <w:numPr>
          <w:ilvl w:val="0"/>
          <w:numId w:val="0"/>
        </w:numPr>
        <w:ind w:firstLine="720" w:start="0" w:end="0"/>
        <w:jc w:val="both"/>
        <w:rPr>
          <w:color w:val="FF00FF"/>
          <w:sz w:val="24"/>
        </w:rPr>
      </w:pPr>
      <w:r>
        <w:rPr>
          <w:color w:val="FF00FF"/>
          <w:sz w:val="24"/>
        </w:rPr>
      </w:r>
    </w:p>
    <w:p>
      <w:pPr>
        <w:pStyle w:val="Normal"/>
        <w:numPr>
          <w:ilvl w:val="0"/>
          <w:numId w:val="0"/>
        </w:numPr>
        <w:ind w:hanging="0" w:start="0"/>
        <w:jc w:val="both"/>
        <w:rPr>
          <w:sz w:val="24"/>
        </w:rPr>
      </w:pPr>
      <w:r>
        <w:rPr>
          <w:sz w:val="24"/>
        </w:rPr>
        <w:tab/>
        <w:t>One can intuitively justify this approach by noting that the average difference between the arithmetic and geometric option payoffs is equal, in the expected value sense, to the difference between the corresponding premia. By adding this difference to the known geometric option premium, we produce an estimate of the arithmetic option premium. However, the variance of the estimated arithmetic premium is lower because the Monte Carlo estimates of the arithmetic and geometric averages are highly correlated. Numerical errors in the arithmetic and geometric payoff estimates tend to cancel one another.</w:t>
      </w:r>
    </w:p>
    <w:p>
      <w:pPr>
        <w:pStyle w:val="Normal"/>
        <w:numPr>
          <w:ilvl w:val="0"/>
          <w:numId w:val="0"/>
        </w:numPr>
        <w:ind w:hanging="0" w:start="0"/>
        <w:jc w:val="both"/>
        <w:rPr>
          <w:sz w:val="24"/>
        </w:rPr>
      </w:pPr>
      <w:r>
        <w:rPr>
          <w:sz w:val="24"/>
        </w:rPr>
      </w:r>
    </w:p>
    <w:p>
      <w:pPr>
        <w:pStyle w:val="Normal"/>
        <w:numPr>
          <w:ilvl w:val="0"/>
          <w:numId w:val="0"/>
        </w:numPr>
        <w:ind w:firstLine="720" w:start="0" w:end="0"/>
        <w:jc w:val="both"/>
        <w:rPr>
          <w:color w:val="FF00FF"/>
          <w:sz w:val="24"/>
        </w:rPr>
      </w:pPr>
      <w:r>
        <w:rPr>
          <w:color w:val="FF00FF"/>
          <w:sz w:val="24"/>
        </w:rPr>
        <w:t xml:space="preserve">Among other numerical techniques, one should mention the approach proposed by Carverhill and Clewlow (1990), based on the application of fast Fourier transforms to derive the representation of the density of the sum of random variables. </w:t>
      </w:r>
    </w:p>
    <w:p>
      <w:pPr>
        <w:pStyle w:val="Normal"/>
        <w:numPr>
          <w:ilvl w:val="0"/>
          <w:numId w:val="0"/>
        </w:numPr>
        <w:ind w:firstLine="720" w:start="0" w:end="0"/>
        <w:jc w:val="both"/>
        <w:rPr>
          <w:color w:val="FF00FF"/>
          <w:sz w:val="24"/>
        </w:rPr>
      </w:pPr>
      <w:r>
        <w:rPr>
          <w:color w:val="FF00FF"/>
          <w:sz w:val="24"/>
        </w:rPr>
      </w:r>
    </w:p>
    <w:p>
      <w:pPr>
        <w:pStyle w:val="Normal"/>
        <w:numPr>
          <w:ilvl w:val="0"/>
          <w:numId w:val="0"/>
        </w:numPr>
        <w:ind w:hanging="0" w:start="0"/>
        <w:jc w:val="both"/>
        <w:rPr>
          <w:sz w:val="24"/>
        </w:rPr>
      </w:pPr>
      <w:r>
        <w:rPr>
          <w:sz w:val="24"/>
        </w:rPr>
        <w:tab/>
        <w:t>An alternative approach, proposed by Levy (1991) and Turnbull and Wakeman (1991) among others, derives an approximation for the price of an Asian option. Levy’s approach is based on the assumption that the underlying distribution of the arithmetic average is closely approximated by the lognormal distribution. There is empirical evidence which supports this hypothesis. The authors used Monte Carlo simulation of geometric Brownian motion and tested the empirical distribution of the average for lognormality, using a Smirnov-Kolmogorov test. This test shows that the assumption of lognormality of the average price is satisfactory when the averaging period is short (up to a year) and the volatility is below 40%. These results suggest that approximation methods should work well for short dated options, but become less accurate for Asians with longer tenors.</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If we assume that the distribution of the average price is approximately lognormal, we have to obtain more information about the shape of the postulated distribution. This information can be extracted from the dynamics of the price used in computation of the average. The first step is to derive the formulas for the first two moments of the distribution of the average, namely the expected value of the average, E[avg(F)], and the expected value of the square of the average, E[(avg(F))2]. Derivation of the formulas for the moments is a straightforward application of stochastic calculus, given the assumption that the price underlying the average follows a geometric Brownian motion process. Once the moments of the distribution have been estimated, one can easily determine the drift and the volatility of the process underlying the average.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An assumption of lognormality of the average implies that its natural logarithm follows the normal distribution. This allows us to apply Wilkinson’s approximation, which uses the moment generating function for a normal variable, to the natural logarithm of the average price at time T. The moments of the average price are expressed, under this transformation, in terms of the drift and volatility of the process followed by the average price. One can solve for these two parameters and use them directly in the standard Black-Scholes formula.</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Turnbull and Wakeman (1991) adopt a similar approach. Their approximation is more complicated and uses the Edgeworth series expansion to approximate the distribution of the average price. </w:t>
      </w:r>
    </w:p>
    <w:p>
      <w:pPr>
        <w:pStyle w:val="Normal"/>
        <w:numPr>
          <w:ilvl w:val="0"/>
          <w:numId w:val="0"/>
        </w:numPr>
        <w:ind w:hanging="0" w:start="0"/>
        <w:jc w:val="both"/>
        <w:rPr>
          <w:sz w:val="24"/>
        </w:rPr>
      </w:pPr>
      <w:r>
        <w:rPr>
          <w:sz w:val="24"/>
        </w:rPr>
      </w:r>
    </w:p>
    <w:p>
      <w:pPr>
        <w:pStyle w:val="Normal"/>
        <w:numPr>
          <w:ilvl w:val="0"/>
          <w:numId w:val="0"/>
        </w:numPr>
        <w:ind w:hanging="0" w:start="0"/>
        <w:jc w:val="both"/>
        <w:rPr>
          <w:color w:val="FF00FF"/>
          <w:sz w:val="24"/>
        </w:rPr>
      </w:pPr>
      <w:r>
        <w:rPr>
          <w:color w:val="FF00FF"/>
          <w:sz w:val="24"/>
        </w:rPr>
        <w:t>Curran (1992) uses the technique of “conditioning” which is based on integration of the function representing the option payoff payoff across all possible geometric mean prices (their density is easy to obtain). A recent paper by  Milevsky and Posner (1998) derives the probability density function of the infinite sum of correlated lognormal variables. The result is used then to approximate the distribution of a finite sum such variables, with obvious applications to pricing Asian options.</w:t>
      </w:r>
    </w:p>
    <w:p>
      <w:pPr>
        <w:pStyle w:val="Normal"/>
        <w:numPr>
          <w:ilvl w:val="0"/>
          <w:numId w:val="0"/>
        </w:numPr>
        <w:ind w:hanging="0" w:start="0"/>
        <w:jc w:val="both"/>
        <w:rPr>
          <w:sz w:val="24"/>
        </w:rPr>
      </w:pPr>
      <w:r>
        <w:rPr>
          <w:sz w:val="24"/>
        </w:rPr>
        <w:tab/>
      </w:r>
    </w:p>
    <w:p>
      <w:pPr>
        <w:pStyle w:val="Normal"/>
        <w:numPr>
          <w:ilvl w:val="0"/>
          <w:numId w:val="0"/>
        </w:numPr>
        <w:ind w:hanging="0" w:start="0"/>
        <w:jc w:val="both"/>
        <w:rPr/>
      </w:pPr>
      <w:r>
        <w:rPr>
          <w:sz w:val="24"/>
        </w:rPr>
        <w:tab/>
      </w:r>
      <w:r>
        <w:rPr>
          <w:color w:val="FF00FF"/>
          <w:sz w:val="24"/>
        </w:rPr>
        <w:t xml:space="preserve">The approach proposed by Geman and Yor (1993) is a real </w:t>
      </w:r>
      <w:r>
        <w:rPr>
          <w:i/>
          <w:color w:val="FF00FF"/>
          <w:sz w:val="24"/>
        </w:rPr>
        <w:t>tour de force</w:t>
      </w:r>
      <w:r>
        <w:rPr>
          <w:color w:val="FF00FF"/>
          <w:sz w:val="24"/>
        </w:rPr>
        <w:t xml:space="preserve"> of applied financial mathematics. This approach uses the fact a geometric Brownian motion is a time changed  Bessel process to obtain the Laplace transform of an Asian option. The numerical challenge remains, however. One must use numerical methods for inverting Laplace transforms to solve the valuation problem. In this sense, the Geman – Yor formula is not a closed form solution.</w:t>
      </w:r>
    </w:p>
    <w:p>
      <w:pPr>
        <w:pStyle w:val="Normal"/>
        <w:numPr>
          <w:ilvl w:val="0"/>
          <w:numId w:val="0"/>
        </w:numPr>
        <w:ind w:hanging="0" w:start="0"/>
        <w:jc w:val="both"/>
        <w:rPr>
          <w:color w:val="FF00FF"/>
          <w:sz w:val="24"/>
        </w:rPr>
      </w:pPr>
      <w:r>
        <w:rPr>
          <w:color w:val="FF00FF"/>
          <w:sz w:val="24"/>
        </w:rPr>
      </w:r>
    </w:p>
    <w:p>
      <w:pPr>
        <w:pStyle w:val="Normal"/>
        <w:numPr>
          <w:ilvl w:val="0"/>
          <w:numId w:val="0"/>
        </w:numPr>
        <w:ind w:firstLine="720" w:start="0" w:end="0"/>
        <w:jc w:val="both"/>
        <w:rPr>
          <w:sz w:val="24"/>
        </w:rPr>
      </w:pPr>
      <w:r>
        <w:rPr>
          <w:sz w:val="24"/>
        </w:rPr>
        <w:tab/>
        <w:t>Figure 3 compares the price of Asian options to that of Europeans. The figure shows the Asian premium as a fraction of the premium for a European option with the same strike, volatility and tenor. The forward price and the number of days until the start of the averaging period are represented by the two horizontal axes. The time to expiration is held constant at 365 days, and the end of the averaging period corresponds to the expiration date. The figure clearly shows that the Asian price converges to that of the European as the averaging period shrinks. For a given time until expiration, the discount of the Asian premium relative to the European widens as the options move out-of-the-money. Deep in-the-money Asian options have values that again approach those of European option values, since the price of both is dominated by intrinsic rather than time value.</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b/>
          <w:sz w:val="24"/>
        </w:rPr>
        <w:t>Lookback Options</w:t>
      </w:r>
      <w:r>
        <w:rPr>
          <w:sz w:val="24"/>
        </w:rPr>
        <w:t xml:space="preserve">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 xml:space="preserve">A standard lookback call (put) option grants the right to purchase (sell) the underlying at the lowest (highest) price reached during the life of the option. Effectively, the best price from the point of view of the holder of the option becomes the strike price. The standard lookback call pays (F(T)-min(F)), and the standard lookback put pays (max(F)-F(T)). This means that the option always expires in- or at-the-money. The idea of the lookback option was introduced by Goldman, Sosin and Gatto (1979), and was explored further by Conze and Viswanathan (1991). </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r>
      <w:r>
        <w:rPr>
          <w:color w:val="0000FF"/>
          <w:sz w:val="24"/>
        </w:rPr>
        <w:t>Conze and Viswanathan also discuss partial lookback options and options on extrema, which are similar to standard lookback options. Options on extrema are defined such that the put on minimum has a payoff equal to max(K-min(F),0), and the call on maximum pays max(max(F)-K,0). The call pays the difference between the maximum price reached over the life of the option and the strike. The put pays the difference between the strike and the minimum price.</w:t>
        <w:tab/>
        <w:t xml:space="preserve">The pricing and hedging of lookback options is explored by Garman (1989) and is summarized in Appendix B. </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color w:val="0000FF"/>
          <w:sz w:val="24"/>
        </w:rPr>
      </w:pPr>
      <w:r>
        <w:rPr>
          <w:color w:val="0000FF"/>
          <w:sz w:val="24"/>
        </w:rPr>
        <w:tab/>
        <w:t>The lookback option is much more expensive than the corresponding European option, as illustrated in Figure 4. This expense dampens the lookback’s popularity in the marketplace, and this type of option has never been embraced in the energy markets.</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b/>
          <w:sz w:val="24"/>
        </w:rPr>
        <w:t>Barrier Options</w:t>
      </w:r>
      <w:r>
        <w:rPr>
          <w:sz w:val="24"/>
        </w:rPr>
        <w:t xml:space="preserve"> </w:t>
      </w:r>
    </w:p>
    <w:p>
      <w:pPr>
        <w:pStyle w:val="Normal"/>
        <w:numPr>
          <w:ilvl w:val="0"/>
          <w:numId w:val="0"/>
        </w:numPr>
        <w:ind w:hanging="0" w:start="0"/>
        <w:jc w:val="both"/>
        <w:rPr>
          <w:sz w:val="24"/>
        </w:rPr>
      </w:pPr>
      <w:r>
        <w:rPr>
          <w:sz w:val="24"/>
        </w:rPr>
      </w:r>
    </w:p>
    <w:p>
      <w:pPr>
        <w:pStyle w:val="Normal"/>
        <w:numPr>
          <w:ilvl w:val="0"/>
          <w:numId w:val="0"/>
        </w:numPr>
        <w:ind w:hanging="0" w:start="0"/>
        <w:jc w:val="both"/>
        <w:rPr>
          <w:color w:val="0000FF"/>
          <w:sz w:val="24"/>
        </w:rPr>
      </w:pPr>
      <w:r>
        <w:rPr>
          <w:color w:val="0000FF"/>
          <w:sz w:val="24"/>
        </w:rPr>
        <w:t>Barrier options were invented to reduce the initial cost of hedging, and to allow the buyer to readjust the hedge when circumstances change. The barrier option either comes to life (is knocked-in) or is extinguished (knocked-out) when the underlying price passes a specified level. Most commonly, the price level (barrier, knock-out, or knock-in price) may be reached at any time during the life of the option. For a call or put, the following combinations are possible:</w:t>
      </w:r>
    </w:p>
    <w:p>
      <w:pPr>
        <w:pStyle w:val="Normal"/>
        <w:numPr>
          <w:ilvl w:val="0"/>
          <w:numId w:val="0"/>
        </w:numPr>
        <w:ind w:hanging="0" w:start="0"/>
        <w:jc w:val="both"/>
        <w:rPr>
          <w:color w:val="0000FF"/>
          <w:sz w:val="24"/>
        </w:rPr>
      </w:pPr>
      <w:r>
        <w:rPr>
          <w:color w:val="0000FF"/>
          <w:sz w:val="24"/>
        </w:rPr>
      </w:r>
    </w:p>
    <w:tbl>
      <w:tblPr>
        <w:tblW w:w="10577" w:type="dxa"/>
        <w:jc w:val="start"/>
        <w:tblInd w:w="-1" w:type="dxa"/>
        <w:tblLayout w:type="fixed"/>
        <w:tblCellMar>
          <w:top w:w="0" w:type="dxa"/>
          <w:start w:w="107" w:type="dxa"/>
          <w:bottom w:w="0" w:type="dxa"/>
          <w:end w:w="107" w:type="dxa"/>
        </w:tblCellMar>
      </w:tblPr>
      <w:tblGrid>
        <w:gridCol w:w="2640"/>
        <w:gridCol w:w="2640"/>
        <w:gridCol w:w="2640"/>
        <w:gridCol w:w="2640"/>
        <w:gridCol w:w="16"/>
      </w:tblGrid>
      <w:tr>
        <w:trPr/>
        <w:tc>
          <w:tcPr>
            <w:tcW w:w="2640" w:type="dxa"/>
            <w:tcBorders/>
          </w:tcPr>
          <w:p>
            <w:pPr>
              <w:pStyle w:val="Normal"/>
              <w:numPr>
                <w:ilvl w:val="0"/>
                <w:numId w:val="0"/>
              </w:numPr>
              <w:snapToGrid w:val="false"/>
              <w:ind w:hanging="0" w:start="0"/>
              <w:jc w:val="both"/>
              <w:rPr>
                <w:color w:val="0000FF"/>
                <w:sz w:val="24"/>
              </w:rPr>
            </w:pPr>
            <w:r>
              <w:rPr>
                <w:color w:val="0000FF"/>
                <w:sz w:val="24"/>
              </w:rPr>
            </w:r>
          </w:p>
        </w:tc>
        <w:tc>
          <w:tcPr>
            <w:tcW w:w="2640" w:type="dxa"/>
            <w:tcBorders/>
          </w:tcPr>
          <w:p>
            <w:pPr>
              <w:pStyle w:val="Normal"/>
              <w:numPr>
                <w:ilvl w:val="0"/>
                <w:numId w:val="0"/>
              </w:numPr>
              <w:snapToGrid w:val="false"/>
              <w:ind w:hanging="0" w:start="0"/>
              <w:jc w:val="both"/>
              <w:rPr>
                <w:color w:val="0000FF"/>
                <w:sz w:val="24"/>
              </w:rPr>
            </w:pPr>
            <w:r>
              <w:rPr>
                <w:color w:val="0000FF"/>
                <w:sz w:val="24"/>
              </w:rPr>
            </w:r>
          </w:p>
        </w:tc>
        <w:tc>
          <w:tcPr>
            <w:tcW w:w="5296" w:type="dxa"/>
            <w:gridSpan w:val="2"/>
            <w:tcBorders/>
          </w:tcPr>
          <w:p>
            <w:pPr>
              <w:pStyle w:val="Normal"/>
              <w:numPr>
                <w:ilvl w:val="0"/>
                <w:numId w:val="0"/>
              </w:numPr>
              <w:ind w:hanging="0" w:start="0"/>
              <w:jc w:val="both"/>
              <w:rPr>
                <w:b/>
                <w:color w:val="0000FF"/>
                <w:sz w:val="24"/>
              </w:rPr>
            </w:pPr>
            <w:r>
              <w:rPr>
                <w:b/>
                <w:color w:val="0000FF"/>
                <w:sz w:val="24"/>
              </w:rPr>
              <w:t>EVENT</w:t>
            </w:r>
          </w:p>
        </w:tc>
      </w:tr>
      <w:tr>
        <w:trPr/>
        <w:tc>
          <w:tcPr>
            <w:tcW w:w="2640" w:type="dxa"/>
            <w:tcBorders/>
            <w:tcMar>
              <w:start w:w="108" w:type="dxa"/>
              <w:end w:w="108" w:type="dxa"/>
            </w:tcMar>
          </w:tcPr>
          <w:p>
            <w:pPr>
              <w:pStyle w:val="Normal"/>
              <w:numPr>
                <w:ilvl w:val="0"/>
                <w:numId w:val="0"/>
              </w:numPr>
              <w:snapToGrid w:val="false"/>
              <w:ind w:hanging="0" w:start="0"/>
              <w:jc w:val="both"/>
              <w:rPr>
                <w:b/>
                <w:color w:val="0000FF"/>
                <w:sz w:val="24"/>
              </w:rPr>
            </w:pPr>
            <w:r>
              <w:rPr>
                <w:b/>
                <w:color w:val="0000FF"/>
                <w:sz w:val="24"/>
              </w:rPr>
            </w:r>
          </w:p>
        </w:tc>
        <w:tc>
          <w:tcPr>
            <w:tcW w:w="2640" w:type="dxa"/>
            <w:tcBorders/>
            <w:tcMar>
              <w:start w:w="108" w:type="dxa"/>
              <w:end w:w="108" w:type="dxa"/>
            </w:tcMar>
          </w:tcPr>
          <w:p>
            <w:pPr>
              <w:pStyle w:val="Normal"/>
              <w:numPr>
                <w:ilvl w:val="0"/>
                <w:numId w:val="0"/>
              </w:numPr>
              <w:snapToGrid w:val="false"/>
              <w:ind w:hanging="0" w:start="0"/>
              <w:jc w:val="both"/>
              <w:rPr>
                <w:color w:val="0000FF"/>
                <w:sz w:val="24"/>
              </w:rPr>
            </w:pPr>
            <w:r>
              <w:rPr>
                <w:color w:val="0000FF"/>
                <w:sz w:val="24"/>
              </w:rPr>
            </w:r>
          </w:p>
        </w:tc>
        <w:tc>
          <w:tcPr>
            <w:tcW w:w="2640" w:type="dxa"/>
            <w:tcBorders/>
            <w:tcMar>
              <w:start w:w="108" w:type="dxa"/>
              <w:end w:w="108" w:type="dxa"/>
            </w:tcMar>
          </w:tcPr>
          <w:p>
            <w:pPr>
              <w:pStyle w:val="Normal"/>
              <w:numPr>
                <w:ilvl w:val="0"/>
                <w:numId w:val="0"/>
              </w:numPr>
              <w:ind w:hanging="0" w:start="0"/>
              <w:jc w:val="both"/>
              <w:rPr>
                <w:b/>
                <w:color w:val="0000FF"/>
                <w:sz w:val="24"/>
              </w:rPr>
            </w:pPr>
            <w:r>
              <w:rPr>
                <w:b/>
                <w:color w:val="0000FF"/>
                <w:sz w:val="24"/>
              </w:rPr>
              <w:t>Out</w:t>
            </w:r>
          </w:p>
        </w:tc>
        <w:tc>
          <w:tcPr>
            <w:tcW w:w="2640" w:type="dxa"/>
            <w:tcBorders/>
            <w:tcMar>
              <w:start w:w="108" w:type="dxa"/>
              <w:end w:w="108" w:type="dxa"/>
            </w:tcMar>
          </w:tcPr>
          <w:p>
            <w:pPr>
              <w:pStyle w:val="Normal"/>
              <w:numPr>
                <w:ilvl w:val="0"/>
                <w:numId w:val="0"/>
              </w:numPr>
              <w:ind w:hanging="0" w:start="0"/>
              <w:jc w:val="both"/>
              <w:rPr>
                <w:b/>
                <w:color w:val="0000FF"/>
                <w:sz w:val="24"/>
              </w:rPr>
            </w:pPr>
            <w:r>
              <w:rPr>
                <w:b/>
                <w:color w:val="0000FF"/>
                <w:sz w:val="24"/>
              </w:rPr>
              <w:t>In</w:t>
            </w:r>
          </w:p>
        </w:tc>
      </w:tr>
      <w:tr>
        <w:trPr/>
        <w:tc>
          <w:tcPr>
            <w:tcW w:w="2640" w:type="dxa"/>
            <w:tcBorders/>
            <w:tcMar>
              <w:start w:w="108" w:type="dxa"/>
              <w:end w:w="108" w:type="dxa"/>
            </w:tcMar>
          </w:tcPr>
          <w:p>
            <w:pPr>
              <w:pStyle w:val="Normal"/>
              <w:numPr>
                <w:ilvl w:val="0"/>
                <w:numId w:val="0"/>
              </w:numPr>
              <w:snapToGrid w:val="false"/>
              <w:ind w:hanging="0" w:start="0"/>
              <w:jc w:val="both"/>
              <w:rPr>
                <w:b/>
                <w:color w:val="0000FF"/>
                <w:sz w:val="24"/>
              </w:rPr>
            </w:pPr>
            <w:r>
              <w:rPr>
                <w:b/>
                <w:color w:val="0000FF"/>
                <w:sz w:val="24"/>
              </w:rPr>
            </w:r>
          </w:p>
        </w:tc>
        <w:tc>
          <w:tcPr>
            <w:tcW w:w="2640" w:type="dxa"/>
            <w:tcBorders/>
            <w:tcMar>
              <w:start w:w="108" w:type="dxa"/>
              <w:end w:w="108" w:type="dxa"/>
            </w:tcMar>
          </w:tcPr>
          <w:p>
            <w:pPr>
              <w:pStyle w:val="Normal"/>
              <w:numPr>
                <w:ilvl w:val="0"/>
                <w:numId w:val="0"/>
              </w:numPr>
              <w:ind w:hanging="0" w:start="0"/>
              <w:jc w:val="both"/>
              <w:rPr>
                <w:b/>
                <w:color w:val="0000FF"/>
                <w:sz w:val="24"/>
              </w:rPr>
            </w:pPr>
            <w:r>
              <w:rPr>
                <w:b/>
                <w:color w:val="0000FF"/>
                <w:sz w:val="24"/>
              </w:rPr>
              <w:t>Up</w:t>
            </w:r>
          </w:p>
        </w:tc>
        <w:tc>
          <w:tcPr>
            <w:tcW w:w="2640" w:type="dxa"/>
            <w:tcBorders/>
            <w:tcMar>
              <w:start w:w="108" w:type="dxa"/>
              <w:end w:w="108" w:type="dxa"/>
            </w:tcMar>
          </w:tcPr>
          <w:p>
            <w:pPr>
              <w:pStyle w:val="Normal"/>
              <w:numPr>
                <w:ilvl w:val="0"/>
                <w:numId w:val="0"/>
              </w:numPr>
              <w:ind w:hanging="0" w:start="0"/>
              <w:jc w:val="both"/>
              <w:rPr>
                <w:color w:val="0000FF"/>
                <w:sz w:val="24"/>
              </w:rPr>
            </w:pPr>
            <w:r>
              <w:rPr>
                <w:color w:val="0000FF"/>
                <w:sz w:val="24"/>
              </w:rPr>
              <w:t>Up-and-Out</w:t>
            </w:r>
          </w:p>
        </w:tc>
        <w:tc>
          <w:tcPr>
            <w:tcW w:w="2640" w:type="dxa"/>
            <w:tcBorders/>
            <w:tcMar>
              <w:start w:w="108" w:type="dxa"/>
              <w:end w:w="108" w:type="dxa"/>
            </w:tcMar>
          </w:tcPr>
          <w:p>
            <w:pPr>
              <w:pStyle w:val="Normal"/>
              <w:numPr>
                <w:ilvl w:val="0"/>
                <w:numId w:val="0"/>
              </w:numPr>
              <w:ind w:hanging="0" w:start="0"/>
              <w:jc w:val="both"/>
              <w:rPr>
                <w:color w:val="0000FF"/>
                <w:sz w:val="24"/>
              </w:rPr>
            </w:pPr>
            <w:r>
              <w:rPr>
                <w:color w:val="0000FF"/>
                <w:sz w:val="24"/>
              </w:rPr>
              <w:t>Up-and-in</w:t>
            </w:r>
          </w:p>
        </w:tc>
      </w:tr>
      <w:tr>
        <w:trPr/>
        <w:tc>
          <w:tcPr>
            <w:tcW w:w="2640" w:type="dxa"/>
            <w:tcBorders/>
            <w:tcMar>
              <w:start w:w="108" w:type="dxa"/>
              <w:end w:w="108" w:type="dxa"/>
            </w:tcMar>
          </w:tcPr>
          <w:p>
            <w:pPr>
              <w:pStyle w:val="Normal"/>
              <w:numPr>
                <w:ilvl w:val="0"/>
                <w:numId w:val="0"/>
              </w:numPr>
              <w:ind w:hanging="0" w:start="0"/>
              <w:jc w:val="both"/>
              <w:rPr>
                <w:b/>
                <w:color w:val="0000FF"/>
                <w:sz w:val="24"/>
              </w:rPr>
            </w:pPr>
            <w:r>
              <w:rPr>
                <w:b/>
                <w:color w:val="0000FF"/>
                <w:sz w:val="24"/>
              </w:rPr>
              <w:t>PRICE</w:t>
            </w:r>
          </w:p>
        </w:tc>
        <w:tc>
          <w:tcPr>
            <w:tcW w:w="2640" w:type="dxa"/>
            <w:tcBorders/>
            <w:tcMar>
              <w:start w:w="108" w:type="dxa"/>
              <w:end w:w="108" w:type="dxa"/>
            </w:tcMar>
          </w:tcPr>
          <w:p>
            <w:pPr>
              <w:pStyle w:val="Normal"/>
              <w:numPr>
                <w:ilvl w:val="0"/>
                <w:numId w:val="0"/>
              </w:numPr>
              <w:snapToGrid w:val="false"/>
              <w:ind w:hanging="0" w:start="0"/>
              <w:jc w:val="both"/>
              <w:rPr>
                <w:b/>
                <w:color w:val="0000FF"/>
                <w:sz w:val="24"/>
              </w:rPr>
            </w:pPr>
            <w:r>
              <w:rPr>
                <w:b/>
                <w:color w:val="0000FF"/>
                <w:sz w:val="24"/>
              </w:rPr>
            </w:r>
          </w:p>
        </w:tc>
        <w:tc>
          <w:tcPr>
            <w:tcW w:w="2640" w:type="dxa"/>
            <w:tcBorders/>
            <w:tcMar>
              <w:start w:w="108" w:type="dxa"/>
              <w:end w:w="108" w:type="dxa"/>
            </w:tcMar>
          </w:tcPr>
          <w:p>
            <w:pPr>
              <w:pStyle w:val="Normal"/>
              <w:numPr>
                <w:ilvl w:val="0"/>
                <w:numId w:val="0"/>
              </w:numPr>
              <w:snapToGrid w:val="false"/>
              <w:ind w:hanging="0" w:start="0"/>
              <w:jc w:val="both"/>
              <w:rPr>
                <w:b/>
                <w:color w:val="0000FF"/>
                <w:sz w:val="24"/>
              </w:rPr>
            </w:pPr>
            <w:r>
              <w:rPr>
                <w:b/>
                <w:color w:val="0000FF"/>
                <w:sz w:val="24"/>
              </w:rPr>
            </w:r>
          </w:p>
        </w:tc>
        <w:tc>
          <w:tcPr>
            <w:tcW w:w="2640" w:type="dxa"/>
            <w:tcBorders/>
            <w:tcMar>
              <w:start w:w="108" w:type="dxa"/>
              <w:end w:w="108" w:type="dxa"/>
            </w:tcMar>
          </w:tcPr>
          <w:p>
            <w:pPr>
              <w:pStyle w:val="Normal"/>
              <w:numPr>
                <w:ilvl w:val="0"/>
                <w:numId w:val="0"/>
              </w:numPr>
              <w:snapToGrid w:val="false"/>
              <w:ind w:hanging="0" w:start="0"/>
              <w:jc w:val="both"/>
              <w:rPr>
                <w:color w:val="0000FF"/>
                <w:sz w:val="24"/>
              </w:rPr>
            </w:pPr>
            <w:r>
              <w:rPr>
                <w:color w:val="0000FF"/>
                <w:sz w:val="24"/>
              </w:rPr>
            </w:r>
          </w:p>
        </w:tc>
      </w:tr>
      <w:tr>
        <w:trPr/>
        <w:tc>
          <w:tcPr>
            <w:tcW w:w="2640" w:type="dxa"/>
            <w:tcBorders/>
            <w:tcMar>
              <w:start w:w="108" w:type="dxa"/>
              <w:end w:w="108" w:type="dxa"/>
            </w:tcMar>
          </w:tcPr>
          <w:p>
            <w:pPr>
              <w:pStyle w:val="Normal"/>
              <w:numPr>
                <w:ilvl w:val="0"/>
                <w:numId w:val="0"/>
              </w:numPr>
              <w:snapToGrid w:val="false"/>
              <w:ind w:hanging="0" w:start="0"/>
              <w:jc w:val="both"/>
              <w:rPr>
                <w:b/>
                <w:color w:val="0000FF"/>
                <w:sz w:val="24"/>
              </w:rPr>
            </w:pPr>
            <w:r>
              <w:rPr>
                <w:b/>
                <w:color w:val="0000FF"/>
                <w:sz w:val="24"/>
              </w:rPr>
            </w:r>
          </w:p>
        </w:tc>
        <w:tc>
          <w:tcPr>
            <w:tcW w:w="2640" w:type="dxa"/>
            <w:tcBorders/>
            <w:tcMar>
              <w:start w:w="108" w:type="dxa"/>
              <w:end w:w="108" w:type="dxa"/>
            </w:tcMar>
          </w:tcPr>
          <w:p>
            <w:pPr>
              <w:pStyle w:val="Normal"/>
              <w:numPr>
                <w:ilvl w:val="0"/>
                <w:numId w:val="0"/>
              </w:numPr>
              <w:ind w:hanging="0" w:start="0"/>
              <w:jc w:val="both"/>
              <w:rPr>
                <w:b/>
                <w:color w:val="0000FF"/>
                <w:sz w:val="24"/>
              </w:rPr>
            </w:pPr>
            <w:r>
              <w:rPr>
                <w:b/>
                <w:color w:val="0000FF"/>
                <w:sz w:val="24"/>
              </w:rPr>
              <w:t>Down</w:t>
            </w:r>
          </w:p>
        </w:tc>
        <w:tc>
          <w:tcPr>
            <w:tcW w:w="2640" w:type="dxa"/>
            <w:tcBorders/>
            <w:tcMar>
              <w:start w:w="108" w:type="dxa"/>
              <w:end w:w="108" w:type="dxa"/>
            </w:tcMar>
          </w:tcPr>
          <w:p>
            <w:pPr>
              <w:pStyle w:val="Normal"/>
              <w:numPr>
                <w:ilvl w:val="0"/>
                <w:numId w:val="0"/>
              </w:numPr>
              <w:ind w:hanging="0" w:start="0"/>
              <w:jc w:val="both"/>
              <w:rPr>
                <w:color w:val="0000FF"/>
                <w:sz w:val="24"/>
              </w:rPr>
            </w:pPr>
            <w:r>
              <w:rPr>
                <w:color w:val="0000FF"/>
                <w:sz w:val="24"/>
              </w:rPr>
              <w:t>Down-and-Out</w:t>
            </w:r>
          </w:p>
        </w:tc>
        <w:tc>
          <w:tcPr>
            <w:tcW w:w="2640" w:type="dxa"/>
            <w:tcBorders/>
            <w:tcMar>
              <w:start w:w="108" w:type="dxa"/>
              <w:end w:w="108" w:type="dxa"/>
            </w:tcMar>
          </w:tcPr>
          <w:p>
            <w:pPr>
              <w:pStyle w:val="Normal"/>
              <w:numPr>
                <w:ilvl w:val="0"/>
                <w:numId w:val="0"/>
              </w:numPr>
              <w:ind w:hanging="0" w:start="0"/>
              <w:jc w:val="both"/>
              <w:rPr>
                <w:color w:val="0000FF"/>
                <w:sz w:val="24"/>
              </w:rPr>
            </w:pPr>
            <w:r>
              <w:rPr>
                <w:color w:val="0000FF"/>
                <w:sz w:val="24"/>
              </w:rPr>
              <w:t>Down-and-in</w:t>
            </w:r>
          </w:p>
        </w:tc>
      </w:tr>
      <w:tr>
        <w:trPr/>
        <w:tc>
          <w:tcPr>
            <w:tcW w:w="2640" w:type="dxa"/>
            <w:tcBorders/>
            <w:tcMar>
              <w:start w:w="108" w:type="dxa"/>
              <w:end w:w="108" w:type="dxa"/>
            </w:tcMar>
          </w:tcPr>
          <w:p>
            <w:pPr>
              <w:pStyle w:val="Normal"/>
              <w:numPr>
                <w:ilvl w:val="0"/>
                <w:numId w:val="0"/>
              </w:numPr>
              <w:snapToGrid w:val="false"/>
              <w:ind w:hanging="0" w:start="0"/>
              <w:jc w:val="both"/>
              <w:rPr>
                <w:color w:val="0000FF"/>
                <w:sz w:val="24"/>
              </w:rPr>
            </w:pPr>
            <w:r>
              <w:rPr>
                <w:color w:val="0000FF"/>
                <w:sz w:val="24"/>
              </w:rPr>
            </w:r>
          </w:p>
        </w:tc>
        <w:tc>
          <w:tcPr>
            <w:tcW w:w="2640" w:type="dxa"/>
            <w:tcBorders/>
            <w:tcMar>
              <w:start w:w="108" w:type="dxa"/>
              <w:end w:w="108" w:type="dxa"/>
            </w:tcMar>
          </w:tcPr>
          <w:p>
            <w:pPr>
              <w:pStyle w:val="Normal"/>
              <w:numPr>
                <w:ilvl w:val="0"/>
                <w:numId w:val="0"/>
              </w:numPr>
              <w:snapToGrid w:val="false"/>
              <w:ind w:hanging="0" w:start="0"/>
              <w:jc w:val="both"/>
              <w:rPr>
                <w:color w:val="0000FF"/>
                <w:sz w:val="24"/>
              </w:rPr>
            </w:pPr>
            <w:r>
              <w:rPr>
                <w:color w:val="0000FF"/>
                <w:sz w:val="24"/>
              </w:rPr>
            </w:r>
          </w:p>
        </w:tc>
        <w:tc>
          <w:tcPr>
            <w:tcW w:w="2640" w:type="dxa"/>
            <w:tcBorders/>
            <w:tcMar>
              <w:start w:w="108" w:type="dxa"/>
              <w:end w:w="108" w:type="dxa"/>
            </w:tcMar>
          </w:tcPr>
          <w:p>
            <w:pPr>
              <w:pStyle w:val="Normal"/>
              <w:numPr>
                <w:ilvl w:val="0"/>
                <w:numId w:val="0"/>
              </w:numPr>
              <w:snapToGrid w:val="false"/>
              <w:ind w:hanging="0" w:start="0"/>
              <w:jc w:val="both"/>
              <w:rPr>
                <w:color w:val="0000FF"/>
                <w:sz w:val="24"/>
              </w:rPr>
            </w:pPr>
            <w:r>
              <w:rPr>
                <w:color w:val="0000FF"/>
                <w:sz w:val="24"/>
              </w:rPr>
            </w:r>
          </w:p>
        </w:tc>
        <w:tc>
          <w:tcPr>
            <w:tcW w:w="2640" w:type="dxa"/>
            <w:tcBorders/>
            <w:tcMar>
              <w:start w:w="108" w:type="dxa"/>
              <w:end w:w="108" w:type="dxa"/>
            </w:tcMar>
          </w:tcPr>
          <w:p>
            <w:pPr>
              <w:pStyle w:val="Normal"/>
              <w:numPr>
                <w:ilvl w:val="0"/>
                <w:numId w:val="0"/>
              </w:numPr>
              <w:snapToGrid w:val="false"/>
              <w:ind w:hanging="0" w:start="0"/>
              <w:jc w:val="both"/>
              <w:rPr>
                <w:color w:val="0000FF"/>
                <w:sz w:val="24"/>
              </w:rPr>
            </w:pPr>
            <w:r>
              <w:rPr>
                <w:color w:val="0000FF"/>
                <w:sz w:val="24"/>
              </w:rPr>
            </w:r>
          </w:p>
        </w:tc>
      </w:tr>
    </w:tbl>
    <w:p>
      <w:pPr>
        <w:pStyle w:val="Normal"/>
        <w:numPr>
          <w:ilvl w:val="0"/>
          <w:numId w:val="0"/>
        </w:numPr>
        <w:ind w:hanging="0" w:start="0"/>
        <w:jc w:val="both"/>
        <w:rPr>
          <w:color w:val="0000FF"/>
          <w:sz w:val="24"/>
        </w:rPr>
      </w:pPr>
      <w:r>
        <w:rPr>
          <w:color w:val="0000FF"/>
          <w:sz w:val="24"/>
        </w:rPr>
        <w:t>The barrier option may be combined with a rebate. For a knock-out option, the rebate is paid when the option is extinguished as a compensation to the holder. For knock-in options, a rebate may be paid at the expiration date for options which have failed to reach the knock-in barrier.</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color w:val="0000FF"/>
          <w:sz w:val="24"/>
        </w:rPr>
      </w:pPr>
      <w:r>
        <w:rPr>
          <w:color w:val="0000FF"/>
          <w:sz w:val="24"/>
        </w:rPr>
        <w:tab/>
        <w:t>A typical example of a barrier option is the “up-and-out put” purchased by an energy producer to hedge their natural long position. An up-and-out put may be an attractive alternative to the vanilla put option, as it is less expensive and provides the same price protection if prices move down from the current levels. However, if prices move upward, the increase in the underlying commodity’s price reduces the need for downside price protection at the original strike. If the price moves up sufficiently to cross the barrier and extinguish the option, the owner may consider re-entering a hedge by buying another put at a higher strike price. Figure 5 illustrates prices for an up-and-out put option as compared to a standard European option and illustrates the potential savings derived from replacing a European option with a barrier option.</w:t>
      </w:r>
    </w:p>
    <w:p>
      <w:pPr>
        <w:pStyle w:val="Normal"/>
        <w:numPr>
          <w:ilvl w:val="0"/>
          <w:numId w:val="0"/>
        </w:numPr>
        <w:ind w:hanging="0" w:start="0"/>
        <w:jc w:val="both"/>
        <w:rPr>
          <w:color w:val="0000FF"/>
          <w:sz w:val="24"/>
        </w:rPr>
      </w:pPr>
      <w:r>
        <w:rPr>
          <w:color w:val="0000FF"/>
          <w:sz w:val="24"/>
        </w:rPr>
      </w:r>
    </w:p>
    <w:p>
      <w:pPr>
        <w:pStyle w:val="Normal"/>
        <w:numPr>
          <w:ilvl w:val="0"/>
          <w:numId w:val="0"/>
        </w:numPr>
        <w:ind w:firstLine="720" w:start="0" w:end="0"/>
        <w:jc w:val="both"/>
        <w:rPr/>
      </w:pPr>
      <w:r>
        <w:rPr>
          <w:color w:val="0000FF"/>
          <w:sz w:val="24"/>
        </w:rPr>
        <w:t xml:space="preserve">Although quite popular in foreign exchange markets, barriers options have never attained much popularity in the energy markets where end users are typically more interested in finding structures which more closely mirror their actual energy price risk exposure. </w:t>
      </w:r>
      <w:r>
        <w:rPr>
          <w:color w:val="FF00FF"/>
          <w:sz w:val="24"/>
        </w:rPr>
        <w:t>One reason why the barrier options have not found many followers is that the many energy markets are relatively illiquid and it may be often relatively easy to push a price through a barrier to trigger or extinguish the option. Possibility of market manipulation is always an important consideration in valuation of energy options. One possible practical application of a barrier option is valuation of contracts with early termination provisions if some conditions are met. Such embedded options can be stripped from the underlying contract and valued as a barrier options.</w:t>
      </w:r>
    </w:p>
    <w:p>
      <w:pPr>
        <w:pStyle w:val="Normal"/>
        <w:numPr>
          <w:ilvl w:val="0"/>
          <w:numId w:val="0"/>
        </w:numPr>
        <w:ind w:firstLine="720" w:start="0" w:end="0"/>
        <w:jc w:val="both"/>
        <w:rPr>
          <w:color w:val="FF00FF"/>
          <w:sz w:val="24"/>
        </w:rPr>
      </w:pPr>
      <w:r>
        <w:rPr>
          <w:color w:val="FF00FF"/>
          <w:sz w:val="24"/>
        </w:rPr>
      </w:r>
    </w:p>
    <w:p>
      <w:pPr>
        <w:pStyle w:val="Normal"/>
        <w:numPr>
          <w:ilvl w:val="0"/>
          <w:numId w:val="0"/>
        </w:numPr>
        <w:ind w:firstLine="720" w:start="0" w:end="0"/>
        <w:jc w:val="both"/>
        <w:rPr/>
      </w:pPr>
      <w:r>
        <w:rPr>
          <w:sz w:val="24"/>
        </w:rPr>
        <w:tab/>
      </w:r>
      <w:r>
        <w:rPr>
          <w:color w:val="0000FF"/>
          <w:sz w:val="24"/>
        </w:rPr>
        <w:t xml:space="preserve">The barrier option value has a closed-form solution when the underlying price is continuously monitored. In practice, the option’s barrier would be based on monitoring in discrete time (for example, using the closing Nymex prices) to reduce administration costs. Such an option could be priced using Monte Carlo simulation or by making an adjustment to the continuous time formula for discrete monitoring of prices. </w:t>
      </w:r>
      <w:r>
        <w:rPr>
          <w:color w:val="008000"/>
          <w:sz w:val="24"/>
        </w:rPr>
        <w:t>Broadie, Glasserman, and Kou (1995) present an approximate continuity correction for discretely monitored barriers, and AitSahlia and Lai (1997) provide an efficient numerical procedure for the valuation of discrete barrier and lookback options.</w:t>
      </w:r>
    </w:p>
    <w:p>
      <w:pPr>
        <w:pStyle w:val="Normal"/>
        <w:numPr>
          <w:ilvl w:val="0"/>
          <w:numId w:val="0"/>
        </w:numPr>
        <w:ind w:firstLine="720" w:start="0" w:end="0"/>
        <w:jc w:val="both"/>
        <w:rPr>
          <w:color w:val="0000FF"/>
          <w:sz w:val="24"/>
        </w:rPr>
      </w:pPr>
      <w:r>
        <w:rPr>
          <w:color w:val="0000FF"/>
          <w:sz w:val="24"/>
        </w:rPr>
      </w:r>
    </w:p>
    <w:p>
      <w:pPr>
        <w:pStyle w:val="Normal"/>
        <w:numPr>
          <w:ilvl w:val="0"/>
          <w:numId w:val="0"/>
        </w:numPr>
        <w:ind w:firstLine="720" w:start="0" w:end="0"/>
        <w:jc w:val="both"/>
        <w:rPr>
          <w:color w:val="0000FF"/>
          <w:sz w:val="24"/>
        </w:rPr>
      </w:pPr>
      <w:r>
        <w:rPr>
          <w:color w:val="0000FF"/>
          <w:sz w:val="24"/>
        </w:rPr>
        <w:t xml:space="preserve">Merton (1973) and Black and Cox (1976) analysed the valuation of barrier options and derived closed-form solutions for some types of barriers. We provide some pricing formulae in Appendix B and also refer the reader to Rubinstein and Reiner (1991a). </w:t>
      </w:r>
    </w:p>
    <w:p>
      <w:pPr>
        <w:pStyle w:val="Normal"/>
        <w:numPr>
          <w:ilvl w:val="0"/>
          <w:numId w:val="0"/>
        </w:numPr>
        <w:ind w:firstLine="720" w:start="0" w:end="0"/>
        <w:jc w:val="both"/>
        <w:rPr>
          <w:color w:val="0000FF"/>
          <w:sz w:val="24"/>
        </w:rPr>
      </w:pPr>
      <w:r>
        <w:rPr>
          <w:color w:val="0000FF"/>
          <w:sz w:val="24"/>
        </w:rPr>
      </w:r>
    </w:p>
    <w:p>
      <w:pPr>
        <w:pStyle w:val="Normal"/>
        <w:numPr>
          <w:ilvl w:val="0"/>
          <w:numId w:val="0"/>
        </w:numPr>
        <w:ind w:firstLine="720" w:start="0" w:end="0"/>
        <w:jc w:val="both"/>
        <w:rPr/>
      </w:pPr>
      <w:r>
        <w:rPr>
          <w:color w:val="0000FF"/>
          <w:sz w:val="24"/>
        </w:rPr>
        <w:tab/>
        <w:t>From the point of view of the writers, barrier options may present formidable hedging difficulties. Benson and Daniel (1991) discuss characteristics and hedging problems associated with options which have a knock-out level that is in-the-money. Figure 6 illustrates the delta and gamma of an up-and-out put as a function of the underlying price and time to expiration. The put in Figure 6 has a knock-out level which is out-of-the-money. The delta and the gamma may change rapidly when the underlying price is near the barrier price. The gamma actually becomes infinite at the barrier price, since the option’s delta will suddenly change from a negative value to zero if the option is knocked out.</w:t>
      </w:r>
      <w:r>
        <w:rPr>
          <w:sz w:val="24"/>
        </w:rPr>
        <w:t xml:space="preserve"> </w:t>
      </w:r>
    </w:p>
    <w:p>
      <w:pPr>
        <w:pStyle w:val="Normal"/>
        <w:numPr>
          <w:ilvl w:val="0"/>
          <w:numId w:val="0"/>
        </w:numPr>
        <w:ind w:firstLine="720" w:start="0" w:end="0"/>
        <w:jc w:val="both"/>
        <w:rPr>
          <w:strike/>
          <w:sz w:val="24"/>
        </w:rPr>
      </w:pPr>
      <w:r>
        <w:rPr>
          <w:strike/>
          <w:sz w:val="24"/>
        </w:rPr>
      </w:r>
    </w:p>
    <w:p>
      <w:pPr>
        <w:pStyle w:val="Normal"/>
        <w:numPr>
          <w:ilvl w:val="0"/>
          <w:numId w:val="0"/>
        </w:numPr>
        <w:ind w:hanging="0" w:start="0"/>
        <w:jc w:val="both"/>
        <w:rPr/>
      </w:pPr>
      <w:r>
        <w:rPr>
          <w:b/>
          <w:color w:val="0000FF"/>
          <w:sz w:val="24"/>
        </w:rPr>
        <w:t>Multi-commodity options</w:t>
      </w:r>
      <w:r>
        <w:rPr>
          <w:color w:val="0000FF"/>
          <w:sz w:val="24"/>
        </w:rPr>
        <w:t xml:space="preserve"> </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color w:val="0000FF"/>
          <w:sz w:val="24"/>
        </w:rPr>
      </w:pPr>
      <w:r>
        <w:rPr>
          <w:color w:val="0000FF"/>
          <w:sz w:val="24"/>
        </w:rPr>
        <w:t>Multi-commodity options have payoffs that depend on the prices of two or more underlying instruments. Modelling such options may be quite complicated, as the premiums depend on the multi-diminsional joint probability distribution of prices. Some types of multi-commodity options do have closed-form solutions. For example, Rubinstein (1991b) concisely reviews the valuation of two commodity “rainbow” options. For the options without closed-form formulae, Boyle (1988) and Amin (1991) suggest lattice valuation approaches, and Barret, Moore and Wilmott (1992) outline a numerical integration method which can be generalised to more than two underlying assets.</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b/>
          <w:sz w:val="24"/>
        </w:rPr>
      </w:pPr>
      <w:r>
        <w:rPr>
          <w:b/>
          <w:sz w:val="24"/>
        </w:rPr>
        <w:t>Spread Options</w:t>
      </w:r>
    </w:p>
    <w:p>
      <w:pPr>
        <w:pStyle w:val="Normal"/>
        <w:numPr>
          <w:ilvl w:val="0"/>
          <w:numId w:val="0"/>
        </w:numPr>
        <w:ind w:hanging="0" w:start="0"/>
        <w:jc w:val="both"/>
        <w:rPr>
          <w:b/>
          <w:sz w:val="24"/>
        </w:rPr>
      </w:pPr>
      <w:r>
        <w:rPr>
          <w:b/>
          <w:sz w:val="24"/>
        </w:rPr>
      </w:r>
    </w:p>
    <w:p>
      <w:pPr>
        <w:pStyle w:val="Normal"/>
        <w:numPr>
          <w:ilvl w:val="0"/>
          <w:numId w:val="0"/>
        </w:numPr>
        <w:ind w:hanging="0" w:start="0"/>
        <w:jc w:val="both"/>
        <w:rPr/>
      </w:pPr>
      <w:r>
        <w:rPr>
          <w:sz w:val="24"/>
        </w:rPr>
        <w:t>A spread option is written on the difference between the prices, F</w:t>
      </w:r>
      <w:r>
        <w:rPr>
          <w:sz w:val="24"/>
          <w:vertAlign w:val="subscript"/>
        </w:rPr>
        <w:t>1</w:t>
      </w:r>
      <w:r>
        <w:rPr>
          <w:sz w:val="24"/>
        </w:rPr>
        <w:t xml:space="preserve"> and F</w:t>
      </w:r>
      <w:r>
        <w:rPr>
          <w:sz w:val="24"/>
          <w:vertAlign w:val="subscript"/>
        </w:rPr>
        <w:t>2</w:t>
      </w:r>
      <w:r>
        <w:rPr>
          <w:sz w:val="24"/>
        </w:rPr>
        <w:t xml:space="preserve"> , of two commodities 1 and 2, with payoff defined  as max(F</w:t>
      </w:r>
      <w:r>
        <w:rPr>
          <w:sz w:val="24"/>
          <w:vertAlign w:val="subscript"/>
        </w:rPr>
        <w:t xml:space="preserve">1 </w:t>
      </w:r>
      <w:r>
        <w:rPr>
          <w:sz w:val="24"/>
        </w:rPr>
        <w:t>- F</w:t>
      </w:r>
      <w:r>
        <w:rPr>
          <w:sz w:val="24"/>
          <w:vertAlign w:val="subscript"/>
        </w:rPr>
        <w:t xml:space="preserve">2 </w:t>
      </w:r>
      <w:r>
        <w:rPr>
          <w:sz w:val="24"/>
        </w:rPr>
        <w:t>- K, 0) for the call  and max(K - ( F</w:t>
      </w:r>
      <w:r>
        <w:rPr>
          <w:sz w:val="24"/>
          <w:vertAlign w:val="subscript"/>
        </w:rPr>
        <w:t xml:space="preserve">1 </w:t>
      </w:r>
      <w:r>
        <w:rPr>
          <w:sz w:val="24"/>
        </w:rPr>
        <w:t>- F</w:t>
      </w:r>
      <w:r>
        <w:rPr>
          <w:sz w:val="24"/>
          <w:vertAlign w:val="subscript"/>
        </w:rPr>
        <w:t>2</w:t>
      </w:r>
      <w:r>
        <w:rPr>
          <w:sz w:val="24"/>
        </w:rPr>
        <w:t xml:space="preserve">), 0) for the put. Spread options may be based on the price differences between: </w:t>
      </w:r>
    </w:p>
    <w:p>
      <w:pPr>
        <w:pStyle w:val="Normal"/>
        <w:numPr>
          <w:ilvl w:val="0"/>
          <w:numId w:val="0"/>
        </w:numPr>
        <w:ind w:hanging="0" w:start="0"/>
        <w:jc w:val="both"/>
        <w:rPr>
          <w:sz w:val="24"/>
        </w:rPr>
      </w:pPr>
      <w:r>
        <w:rPr>
          <w:sz w:val="24"/>
        </w:rPr>
      </w:r>
    </w:p>
    <w:p>
      <w:pPr>
        <w:pStyle w:val="Normal"/>
        <w:numPr>
          <w:ilvl w:val="0"/>
          <w:numId w:val="2"/>
        </w:numPr>
        <w:jc w:val="both"/>
        <w:rPr>
          <w:sz w:val="24"/>
        </w:rPr>
      </w:pPr>
      <w:r>
        <w:rPr>
          <w:sz w:val="24"/>
        </w:rPr>
        <w:t>prices of the same commodity at two different locations (location spreads);</w:t>
      </w:r>
    </w:p>
    <w:p>
      <w:pPr>
        <w:pStyle w:val="Normal"/>
        <w:numPr>
          <w:ilvl w:val="0"/>
          <w:numId w:val="2"/>
        </w:numPr>
        <w:jc w:val="both"/>
        <w:rPr>
          <w:sz w:val="24"/>
        </w:rPr>
      </w:pPr>
      <w:r>
        <w:rPr>
          <w:sz w:val="24"/>
        </w:rPr>
        <w:t>prices of the same commodity at two different points in time (calendar spreads);</w:t>
      </w:r>
    </w:p>
    <w:p>
      <w:pPr>
        <w:pStyle w:val="Normal"/>
        <w:numPr>
          <w:ilvl w:val="0"/>
          <w:numId w:val="2"/>
        </w:numPr>
        <w:jc w:val="both"/>
        <w:rPr>
          <w:sz w:val="24"/>
        </w:rPr>
      </w:pPr>
      <w:r>
        <w:rPr>
          <w:sz w:val="24"/>
        </w:rPr>
        <w:t>prices of inputs to, and outputs from, a production process (processing spreads); and</w:t>
      </w:r>
    </w:p>
    <w:p>
      <w:pPr>
        <w:pStyle w:val="Normal"/>
        <w:numPr>
          <w:ilvl w:val="0"/>
          <w:numId w:val="2"/>
        </w:numPr>
        <w:jc w:val="both"/>
        <w:rPr>
          <w:sz w:val="24"/>
        </w:rPr>
      </w:pPr>
      <w:r>
        <w:rPr>
          <w:sz w:val="24"/>
        </w:rPr>
        <w:t>prices of different grades of the same commodity (quality spreads).</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Of course, there are no clear-cut distinctions between different types of spread options, and contracts may combine location, time and quality price differences.</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An example of a location spread is an option on the difference between the prices of 1% heating oil at New York Harbor and at the Gulf Coast. The price difference may induce some traders to ship heating oil from one location to the other, but they run the risk of price change when the cargo is in transit. One way to mitigate this risk is to purchase a put option on the spread between the two prices.</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Examples of time spreads are provided by options on the difference between average annual (calendar, in industry jargon) prices of natural gas (for example, the difference between the averages for calendar year 1998 and calendar 1999 gas prices), traded actively in the over-the-counter (OTC) market. Such options provide protection against reshaping of the natural gas forward price curve.</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 xml:space="preserve">An example of a “processing spread” is an option on the difference between the prices of natural gas and of a basket of natural gas liquids (ethane, propane, iso-butane, normal butane and natural gasoline) which can be extracted from the natural gas stream at processing plants. Panel </w:t>
      </w:r>
      <w:r>
        <w:rPr>
          <w:color w:val="FF00FF"/>
          <w:sz w:val="24"/>
        </w:rPr>
        <w:t>3</w:t>
      </w:r>
      <w:r>
        <w:rPr>
          <w:sz w:val="24"/>
        </w:rPr>
        <w:t xml:space="preserve"> provides a more detailed discussion.</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Examples of “quality spreads” are the spreads between the prices of sweet and sour crude, or between the prices of different grades of heating oil (defined by their sulphur content).</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There are several approaches to pricing spread options. One method treats the spread between the two prices as a specific good; that is, as if it were traded separately from the two underlying commodities. This assumption may be justified in some cases. For example, in the natural gas industry an active market for the basis (i.e. difference) between two price indices, has developed in the last few years. The next logical step is to offer options on this special commodity.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The pricing of these options is complicated by the fact that, unlike a price, the spread can have negative values. The Black-Scholes formula cannot be used, since it is based on the assumption of a lognormal distribution of prices at horizon, defined only for positive values. One can, however, assume that the spread has a normal distribution and use the pricing formula developed by Brennan (1979). This approach is used by Wilcox (1991). A shortcoming of this approach is that the distribution of the spread is not necessarily normal or even symmetric. The obvious advantage of this method is the ease of computer implementation, as it produces a closed-form formula for option valuation. </w:t>
      </w:r>
    </w:p>
    <w:p>
      <w:pPr>
        <w:pStyle w:val="Normal"/>
        <w:numPr>
          <w:ilvl w:val="0"/>
          <w:numId w:val="0"/>
        </w:numPr>
        <w:ind w:hanging="0" w:start="0"/>
        <w:jc w:val="both"/>
        <w:rPr/>
      </w:pPr>
      <w:r>
        <w:rPr>
          <w:sz w:val="24"/>
        </w:rPr>
        <w:tab/>
        <w:t>Below, we show the formulae for call and put prices for a spread option. Note that the standard deviation of the spread, (</w:t>
      </w:r>
      <w:r>
        <w:rPr>
          <w:rFonts w:eastAsia="Symbol" w:cs="Symbol" w:ascii="Symbol" w:hAnsi="Symbol"/>
          <w:sz w:val="24"/>
        </w:rPr>
        <w:sym w:font="Symbol" w:char="f073"/>
      </w:r>
      <w:r>
        <w:rPr>
          <w:sz w:val="24"/>
          <w:vertAlign w:val="subscript"/>
        </w:rPr>
        <w:t xml:space="preserve">A, </w:t>
      </w:r>
      <w:r>
        <w:rPr>
          <w:sz w:val="24"/>
        </w:rPr>
        <w:t>is expressed in absolute, not relative, terms in this formula:</w:t>
      </w:r>
    </w:p>
    <w:p>
      <w:pPr>
        <w:pStyle w:val="Normal"/>
        <w:numPr>
          <w:ilvl w:val="0"/>
          <w:numId w:val="0"/>
        </w:numPr>
        <w:ind w:hanging="0" w:start="0"/>
        <w:jc w:val="both"/>
        <w:rPr>
          <w:sz w:val="24"/>
        </w:rPr>
      </w:pPr>
      <w:r>
        <w:rPr>
          <w:sz w:val="24"/>
        </w:rPr>
      </w:r>
    </w:p>
    <w:p>
      <w:pPr>
        <w:pStyle w:val="Normal"/>
        <w:numPr>
          <w:ilvl w:val="0"/>
          <w:numId w:val="0"/>
        </w:numPr>
        <w:ind w:firstLine="720" w:start="720" w:end="0"/>
        <w:jc w:val="both"/>
        <w:rPr/>
      </w:pPr>
      <w:r>
        <w:rPr/>
      </w:r>
      <m:oMath xmlns:m="http://schemas.openxmlformats.org/officeDocument/2006/math">
        <m:r>
          <m:t xml:space="preserve">c</m:t>
        </m:r>
        <m:r>
          <m:t xml:space="preserve">=</m:t>
        </m:r>
        <m:r>
          <m:rPr>
            <m:lit/>
            <m:nor/>
          </m:rPr>
          <m:t xml:space="preserve">exp</m:t>
        </m:r>
        <m:d>
          <m:dPr>
            <m:begChr m:val="{"/>
            <m:endChr m:val="}"/>
          </m:dPr>
          <m:e>
            <m:r>
              <m:t xml:space="preserve">r</m:t>
            </m:r>
            <m:r>
              <m:t xml:space="preserve">(</m:t>
            </m:r>
            <m:r>
              <m:t xml:space="preserve">T</m:t>
            </m:r>
            <m:r>
              <m:t xml:space="preserve">−</m:t>
            </m:r>
            <m:r>
              <m:t xml:space="preserve">t</m:t>
            </m:r>
            <m:r>
              <m:t xml:space="preserve">)</m:t>
            </m:r>
          </m:e>
        </m:d>
      </m:oMath>
      <w:r>
        <w:rPr>
          <w:sz w:val="24"/>
        </w:rPr>
        <w:tab/>
        <w:tab/>
        <w:t>(16)</w:t>
      </w:r>
    </w:p>
    <w:p>
      <w:pPr>
        <w:pStyle w:val="Normal"/>
        <w:numPr>
          <w:ilvl w:val="0"/>
          <w:numId w:val="0"/>
        </w:numPr>
        <w:ind w:hanging="0" w:start="0"/>
        <w:jc w:val="both"/>
        <w:rPr>
          <w:sz w:val="24"/>
        </w:rPr>
      </w:pPr>
      <w:r>
        <w:rPr>
          <w:sz w:val="24"/>
        </w:rPr>
        <w:t>and</w:t>
      </w:r>
    </w:p>
    <w:p>
      <w:pPr>
        <w:pStyle w:val="Normal"/>
        <w:numPr>
          <w:ilvl w:val="0"/>
          <w:numId w:val="0"/>
        </w:numPr>
        <w:ind w:hanging="0" w:start="0"/>
        <w:jc w:val="both"/>
        <w:rPr>
          <w:sz w:val="24"/>
        </w:rPr>
      </w:pPr>
      <w:r>
        <w:rPr>
          <w:sz w:val="24"/>
        </w:rPr>
      </w:r>
    </w:p>
    <w:p>
      <w:pPr>
        <w:pStyle w:val="Normal"/>
        <w:numPr>
          <w:ilvl w:val="0"/>
          <w:numId w:val="0"/>
        </w:numPr>
        <w:ind w:firstLine="720" w:start="720" w:end="0"/>
        <w:jc w:val="both"/>
        <w:rPr/>
      </w:pPr>
      <w:r>
        <w:rPr/>
        <w:object w:dxaOrig="2940" w:dyaOrig="2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47pt;height:13pt" filled="f" o:ole="">
            <v:imagedata r:id="rId17" o:title=""/>
          </v:shape>
          <o:OLEObject Type="Embed" ProgID="" ShapeID="ole_rId16" DrawAspect="Content" ObjectID="_1700609711" r:id="rId16"/>
        </w:object>
      </w:r>
      <w:r>
        <w:rPr>
          <w:sz w:val="24"/>
        </w:rPr>
        <w:tab/>
        <w:tab/>
        <w:tab/>
        <w:tab/>
        <w:t>(17)</w:t>
      </w:r>
    </w:p>
    <w:p>
      <w:pPr>
        <w:pStyle w:val="Normal"/>
        <w:numPr>
          <w:ilvl w:val="0"/>
          <w:numId w:val="0"/>
        </w:numPr>
        <w:ind w:hanging="0" w:start="0"/>
        <w:jc w:val="both"/>
        <w:rPr>
          <w:sz w:val="24"/>
        </w:rPr>
      </w:pPr>
      <w:r>
        <w:rPr>
          <w:sz w:val="24"/>
        </w:rPr>
        <w:t>where</w:t>
      </w:r>
    </w:p>
    <w:p>
      <w:pPr>
        <w:pStyle w:val="Normal"/>
        <w:numPr>
          <w:ilvl w:val="0"/>
          <w:numId w:val="0"/>
        </w:numPr>
        <w:ind w:firstLine="720" w:start="720" w:end="0"/>
        <w:jc w:val="both"/>
        <w:rPr>
          <w:sz w:val="24"/>
        </w:rPr>
      </w:pPr>
      <w:r>
        <w:rPr/>
      </w:r>
      <m:oMathPara xmlns:m="http://schemas.openxmlformats.org/officeDocument/2006/math">
        <m:oMathParaPr>
          <m:jc m:val="left"/>
        </m:oMathParaPr>
        <m:oMath>
          <m:sSub>
            <m:e>
              <m:r>
                <m:t xml:space="preserve">d</m:t>
              </m:r>
            </m:e>
            <m:sub>
              <m:r>
                <m:t xml:space="preserve">1</m:t>
              </m:r>
            </m:sub>
          </m:sSub>
          <m:r>
            <m:t xml:space="preserve">=</m:t>
          </m:r>
          <m:f>
            <m:num>
              <m:r>
                <m:t xml:space="preserve">S</m:t>
              </m:r>
              <m:r>
                <m:t xml:space="preserve">−</m:t>
              </m:r>
              <m:r>
                <m:t xml:space="preserve">K</m:t>
              </m:r>
            </m:num>
            <m:den>
              <m:sSub>
                <m:e>
                  <m:r>
                    <m:t xml:space="preserve">σ</m:t>
                  </m:r>
                </m:e>
                <m:sub>
                  <m:r>
                    <m:t xml:space="preserve">A</m:t>
                  </m:r>
                </m:sub>
              </m:sSub>
              <m:rad>
                <m:radPr>
                  <m:degHide m:val="1"/>
                </m:radPr>
                <m:deg/>
                <m:e>
                  <m:r>
                    <m:t xml:space="preserve">T</m:t>
                  </m:r>
                  <m:r>
                    <m:t xml:space="preserve">−</m:t>
                  </m:r>
                  <m:r>
                    <m:t xml:space="preserve">t</m:t>
                  </m:r>
                </m:e>
              </m:rad>
            </m:den>
          </m:f>
        </m:oMath>
      </m:oMathPara>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S = the forward price of the spread, ands</w:t>
      </w:r>
    </w:p>
    <w:p>
      <w:pPr>
        <w:pStyle w:val="Normal"/>
        <w:numPr>
          <w:ilvl w:val="0"/>
          <w:numId w:val="0"/>
        </w:numPr>
        <w:ind w:hanging="0" w:start="0"/>
        <w:jc w:val="both"/>
        <w:rPr/>
      </w:pPr>
      <w:r>
        <w:rPr>
          <w:rFonts w:eastAsia="Symbol" w:cs="Symbol" w:ascii="Symbol" w:hAnsi="Symbol"/>
          <w:sz w:val="24"/>
        </w:rPr>
        <w:sym w:font="Symbol" w:char="f073"/>
      </w:r>
      <w:r>
        <w:rPr>
          <w:sz w:val="24"/>
          <w:vertAlign w:val="subscript"/>
        </w:rPr>
        <w:t>A</w:t>
      </w:r>
      <w:r>
        <w:rPr>
          <w:sz w:val="24"/>
        </w:rPr>
        <w:t xml:space="preserve"> = annualised standard deviation of the spread price, S.</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 xml:space="preserve">An alternative, and possibly better, solution is to assume that the two prices defining the spread follow a joint lognormal distribution and to price the option as the discounted, expected value of the payoff in the risk-neutral world. The expected value is then simply a double integral over a relevant integration region, dependent upon the forward price levels and the strike price. The specification of a joint lognormal distribution requires the calculation of the two volatilities and the correlation coefficient between the underlying prices. The integral can be evaluated using standard numerical procedures. Ravindran (1993) shows how to reduce the double integral to a one-dimensional numerical problem. The risk parameters can be found by differentiating the integral equation, or can be approximated by re-pricing the option and using finite difference methods. The risk parameters include two deltas, two gammas, a cross gamma corresponding to the second mixed partial derivative, and a sensitivity with respect to the correlation coefficient. We propose that this sensitivity be called eta, </w:t>
      </w:r>
      <w:r>
        <w:rPr>
          <w:rFonts w:eastAsia="Symbol" w:cs="Symbol" w:ascii="Symbol" w:hAnsi="Symbol"/>
          <w:sz w:val="24"/>
        </w:rPr>
        <w:sym w:font="Symbol" w:char="f068"/>
      </w:r>
      <w:r>
        <w:rPr>
          <w:sz w:val="24"/>
        </w:rPr>
        <w:t xml:space="preserve">, as no Greek letter for this risk parameter has been suggested to the best of our knowledge. </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b/>
          <w:sz w:val="24"/>
        </w:rPr>
        <w:t>Option to exchange one asset for another</w:t>
      </w:r>
      <w:r>
        <w:rPr>
          <w:sz w:val="24"/>
        </w:rPr>
        <w:t xml:space="preserve">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 xml:space="preserve">This option, discussed by Margrabe (1978), gives the holder the ability to select the better of two assets. These options have, historically, been embedded in many futures contracts under which the short can choose the quality or type of commodity to be delivered.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For example, one can currently deliver any of 25 different types of Treasury bonds into the long Treasury bond futures contract that is traded by the Chicago Board of Trade. Given this option, the short will deliver the instrument that is the cheapest on the delivery date. In the energy markets, one possible application of this kind of option is a contract which allows the customer to buy natural gas at prices related to heating oil.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For example, if a utility is granted an option to buy one MMBTU of natural gas at 70% of the price of an MMBTU of 1% residual heating oil, it effectively has an option to exchange 0.7 MMBTUs of “resid” for one MMBTU of natural gas. This option gives the buyer the ability to lock in the economics of cheaper fuel, without necessarily investing in dual burner capacity or employing the specialised personnel necessary for handling two types of fuels. (Panel 3 provides an example of another use for this type of option.)</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Energy users who elect to exclusively burn natural gas can also gain tax and “environmental” benefits. The reduction in emissions of pollutants can be monetised through a sale of emission credits, while in some states natural gas has a more favourable tax treatment than residual heating oil. Tax savings and the sale of emission credits can thus be used to defray the cost of purchasing exchange options.</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The option to exchange one asset for another is actually a special case of the spread option, where the strike is set to zero. The payoff for the option to exchange commodity 2 for commodity 1 can be written as max(F</w:t>
      </w:r>
      <w:r>
        <w:rPr>
          <w:sz w:val="24"/>
          <w:vertAlign w:val="subscript"/>
        </w:rPr>
        <w:t>1</w:t>
      </w:r>
      <w:r>
        <w:rPr>
          <w:sz w:val="24"/>
        </w:rPr>
        <w:t>(T)-F</w:t>
      </w:r>
      <w:r>
        <w:rPr>
          <w:sz w:val="24"/>
          <w:vertAlign w:val="subscript"/>
        </w:rPr>
        <w:t>2</w:t>
      </w:r>
      <w:r>
        <w:rPr>
          <w:sz w:val="24"/>
        </w:rPr>
        <w:t>(T), 0). Although there is no general closed-form solution for pricing spread options, an analytical solution exists for this special case. The call option to receive commodity 1 by paying with commodity 2 is given by:</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r>
    </w:p>
    <w:p>
      <w:pPr>
        <w:pStyle w:val="Normal"/>
        <w:numPr>
          <w:ilvl w:val="0"/>
          <w:numId w:val="0"/>
        </w:numPr>
        <w:ind w:firstLine="720" w:start="720" w:end="0"/>
        <w:jc w:val="both"/>
        <w:rPr/>
      </w:pPr>
      <w:r>
        <w:rPr/>
      </w:r>
      <m:oMath xmlns:m="http://schemas.openxmlformats.org/officeDocument/2006/math">
        <m:r>
          <m:t xml:space="preserve">c</m:t>
        </m:r>
        <m:r>
          <m:t xml:space="preserve">=</m:t>
        </m:r>
        <m:sSup>
          <m:e>
            <m:r>
              <m:t xml:space="preserve">e</m:t>
            </m:r>
          </m:e>
          <m:sup>
            <m:r>
              <m:t xml:space="preserve">−</m:t>
            </m:r>
            <m:r>
              <m:t xml:space="preserve">r</m:t>
            </m:r>
            <m:r>
              <m:t xml:space="preserve">(</m:t>
            </m:r>
            <m:r>
              <m:t xml:space="preserve">T</m:t>
            </m:r>
            <m:r>
              <m:t xml:space="preserve">−</m:t>
            </m:r>
            <m:r>
              <m:t xml:space="preserve">t</m:t>
            </m:r>
            <m:r>
              <m:t xml:space="preserve">)</m:t>
            </m:r>
          </m:sup>
        </m:sSup>
        <m:r>
          <m:t xml:space="preserve">[</m:t>
        </m:r>
        <m:r>
          <m:t xml:space="preserve">F</m:t>
        </m:r>
        <m:r>
          <m:t xml:space="preserve">1</m:t>
        </m:r>
        <m:r>
          <m:t xml:space="preserve">N</m:t>
        </m:r>
        <m:r>
          <m:t xml:space="preserve">(</m:t>
        </m:r>
        <m:r>
          <m:t xml:space="preserve">d</m:t>
        </m:r>
        <m:r>
          <m:t xml:space="preserve">1</m:t>
        </m:r>
        <m:r>
          <m:t xml:space="preserve">)</m:t>
        </m:r>
        <m:r>
          <m:t xml:space="preserve">−</m:t>
        </m:r>
        <m:r>
          <m:t xml:space="preserve">F</m:t>
        </m:r>
        <m:r>
          <m:t xml:space="preserve">2</m:t>
        </m:r>
        <m:r>
          <m:t xml:space="preserve">N</m:t>
        </m:r>
        <m:r>
          <m:t xml:space="preserve">(</m:t>
        </m:r>
        <m:r>
          <m:t xml:space="preserve">d</m:t>
        </m:r>
        <m:r>
          <m:t xml:space="preserve">2</m:t>
        </m:r>
        <m:r>
          <m:t xml:space="preserve">)</m:t>
        </m:r>
        <m:r>
          <m:t xml:space="preserve">]</m:t>
        </m:r>
      </m:oMath>
      <w:r>
        <w:rPr>
          <w:sz w:val="24"/>
        </w:rPr>
        <w:tab/>
        <w:tab/>
        <w:tab/>
        <w:tab/>
        <w:tab/>
        <w:t>(18)</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where</w:t>
      </w:r>
    </w:p>
    <w:p>
      <w:pPr>
        <w:pStyle w:val="Normal"/>
        <w:numPr>
          <w:ilvl w:val="0"/>
          <w:numId w:val="0"/>
        </w:numPr>
        <w:ind w:hanging="0" w:start="0"/>
        <w:jc w:val="both"/>
        <w:rPr>
          <w:sz w:val="24"/>
        </w:rPr>
      </w:pPr>
      <w:r>
        <w:rPr>
          <w:sz w:val="24"/>
        </w:rPr>
        <w:tab/>
        <w:tab/>
      </w:r>
      <w:r>
        <w:rPr/>
        <w:object w:dxaOrig="2580" w:dyaOrig="94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29pt;height:47pt" filled="f" o:ole="">
            <v:imagedata r:id="rId19" o:title=""/>
          </v:shape>
          <o:OLEObject Type="Embed" ProgID="" ShapeID="ole_rId18" DrawAspect="Content" ObjectID="_214101677" r:id="rId18"/>
        </w:objec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ab/>
      </w:r>
      <w:r>
        <w:rPr>
          <w:i/>
        </w:rPr>
        <w:object w:dxaOrig="1720" w:dyaOrig="3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86pt;height:17pt" filled="f" o:ole="">
            <v:imagedata r:id="rId21" o:title=""/>
          </v:shape>
          <o:OLEObject Type="Embed" ProgID="" ShapeID="ole_rId20" DrawAspect="Content" ObjectID="_526708328" r:id="rId20"/>
        </w:objec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F</w:t>
      </w:r>
      <w:r>
        <w:rPr>
          <w:sz w:val="24"/>
          <w:vertAlign w:val="subscript"/>
        </w:rPr>
        <w:t>1</w:t>
      </w:r>
      <w:r>
        <w:rPr>
          <w:sz w:val="24"/>
        </w:rPr>
        <w:t>(t) = Forward price of commodity 1 at time t, and</w:t>
      </w:r>
    </w:p>
    <w:p>
      <w:pPr>
        <w:pStyle w:val="Normal"/>
        <w:numPr>
          <w:ilvl w:val="0"/>
          <w:numId w:val="0"/>
        </w:numPr>
        <w:ind w:hanging="0" w:start="0"/>
        <w:jc w:val="both"/>
        <w:rPr/>
      </w:pPr>
      <w:r>
        <w:rPr>
          <w:sz w:val="24"/>
        </w:rPr>
        <w:t>F</w:t>
      </w:r>
      <w:r>
        <w:rPr>
          <w:sz w:val="24"/>
          <w:vertAlign w:val="subscript"/>
        </w:rPr>
        <w:t>2</w:t>
      </w:r>
      <w:r>
        <w:rPr>
          <w:sz w:val="24"/>
        </w:rPr>
        <w:t>(t) = Forward price of commodity 2 at time t.</w:t>
        <w:tab/>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 xml:space="preserve">The volatility, </w:t>
      </w:r>
      <w:r>
        <w:rPr>
          <w:rFonts w:eastAsia="Symbol" w:cs="Symbol" w:ascii="Symbol" w:hAnsi="Symbol"/>
          <w:sz w:val="24"/>
        </w:rPr>
        <w:sym w:font="Symbol" w:char="f073"/>
      </w:r>
      <w:r>
        <w:rPr>
          <w:sz w:val="24"/>
        </w:rPr>
        <w:t>, used for the inputs to expression (18), is derived from the volatilities of the underlying commodities and is given by:</w:t>
      </w:r>
    </w:p>
    <w:p>
      <w:pPr>
        <w:pStyle w:val="Normal"/>
        <w:numPr>
          <w:ilvl w:val="0"/>
          <w:numId w:val="0"/>
        </w:numPr>
        <w:ind w:hanging="0" w:start="0"/>
        <w:jc w:val="both"/>
        <w:rPr>
          <w:sz w:val="24"/>
        </w:rPr>
      </w:pPr>
      <w:r>
        <w:rPr>
          <w:sz w:val="24"/>
        </w:rPr>
      </w:r>
    </w:p>
    <w:p>
      <w:pPr>
        <w:pStyle w:val="Normal"/>
        <w:numPr>
          <w:ilvl w:val="0"/>
          <w:numId w:val="0"/>
        </w:numPr>
        <w:ind w:firstLine="720" w:start="720" w:end="0"/>
        <w:jc w:val="both"/>
        <w:rPr/>
      </w:pPr>
      <w:r>
        <w:rPr/>
        <w:object w:dxaOrig="2180" w:dyaOrig="3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09pt;height:16pt" filled="f" o:ole="">
            <v:imagedata r:id="rId23" o:title=""/>
          </v:shape>
          <o:OLEObject Type="Embed" ProgID="" ShapeID="ole_rId22" DrawAspect="Content" ObjectID="_193367034" r:id="rId22"/>
        </w:object>
      </w:r>
      <w:r>
        <w:rPr>
          <w:sz w:val="24"/>
        </w:rPr>
        <w:tab/>
        <w:tab/>
        <w:t>(19)</w:t>
      </w:r>
    </w:p>
    <w:p>
      <w:pPr>
        <w:pStyle w:val="Normal"/>
        <w:numPr>
          <w:ilvl w:val="0"/>
          <w:numId w:val="0"/>
        </w:numPr>
        <w:ind w:firstLine="720" w:start="720" w:end="0"/>
        <w:jc w:val="both"/>
        <w:rPr>
          <w:sz w:val="24"/>
        </w:rPr>
      </w:pPr>
      <w:r>
        <w:rPr>
          <w:sz w:val="24"/>
        </w:rPr>
      </w:r>
    </w:p>
    <w:p>
      <w:pPr>
        <w:pStyle w:val="Normal"/>
        <w:numPr>
          <w:ilvl w:val="0"/>
          <w:numId w:val="0"/>
        </w:numPr>
        <w:ind w:hanging="0" w:start="0"/>
        <w:jc w:val="both"/>
        <w:rPr/>
      </w:pPr>
      <w:r>
        <w:rPr>
          <w:sz w:val="24"/>
        </w:rPr>
        <w:t xml:space="preserve">where </w:t>
      </w:r>
      <w:r>
        <w:rPr>
          <w:rFonts w:eastAsia="Symbol" w:cs="Symbol" w:ascii="Symbol" w:hAnsi="Symbol"/>
          <w:sz w:val="24"/>
        </w:rPr>
        <w:sym w:font="Symbol" w:char="f072"/>
      </w:r>
      <w:r>
        <w:rPr>
          <w:sz w:val="24"/>
        </w:rPr>
        <w:t xml:space="preserve"> denotes the forward correlation coefficient between the two prices.</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The call option described above allows the purchase of commodity 1 by paying with commodity 2, if this is advantageous to the holder of the option. Equivalently, this option allows the holder to exchange commodity 2 for commodity 1. Using our earlier example, the buyer of natural gas can pay the price of 0.7 MMBtus of “resid” when this price falls below that of natural gas. The call, priced by equation (18), which allows the purchase of commodity 1 by paying with commodity 2, is equivalent to a put which allows the holder to sell commodity 2 and to obtain payments in terms of commodity 1.</w:t>
      </w:r>
    </w:p>
    <w:p>
      <w:pPr>
        <w:pStyle w:val="Normal"/>
        <w:numPr>
          <w:ilvl w:val="0"/>
          <w:numId w:val="0"/>
        </w:numPr>
        <w:ind w:hanging="0" w:start="0"/>
        <w:jc w:val="both"/>
        <w:rPr>
          <w:sz w:val="24"/>
        </w:rPr>
      </w:pPr>
      <w:r>
        <w:rPr>
          <w:sz w:val="24"/>
        </w:rPr>
        <w:t xml:space="preserve"> </w:t>
      </w:r>
    </w:p>
    <w:p>
      <w:pPr>
        <w:pStyle w:val="Normal"/>
        <w:numPr>
          <w:ilvl w:val="0"/>
          <w:numId w:val="0"/>
        </w:numPr>
        <w:ind w:hanging="0" w:start="0"/>
        <w:jc w:val="both"/>
        <w:rPr>
          <w:sz w:val="24"/>
        </w:rPr>
      </w:pPr>
      <w:r>
        <w:rPr>
          <w:sz w:val="24"/>
        </w:rPr>
        <w:tab/>
        <w:t>Mark Rubinstein (1992) presents a binomial tree approach to valuing European- and American-type options to exchange one asset for another; a hybrid version of this type of option is discussed in Panel 5.</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b/>
          <w:sz w:val="24"/>
        </w:rPr>
        <w:t>Options on the Minimum or Maximum of Two Commodities</w:t>
      </w:r>
      <w:r>
        <w:rPr>
          <w:sz w:val="24"/>
        </w:rPr>
        <w:t xml:space="preserve">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Options on the minimum or maximum prices of two commodities are closely related to the option to exchange one asset for another. For the special case where the strike price is zero, an equivalence relation is obtained:</w:t>
      </w:r>
    </w:p>
    <w:p>
      <w:pPr>
        <w:pStyle w:val="Normal"/>
        <w:numPr>
          <w:ilvl w:val="0"/>
          <w:numId w:val="0"/>
        </w:numPr>
        <w:ind w:hanging="0" w:start="0"/>
        <w:jc w:val="both"/>
        <w:rPr/>
      </w:pPr>
      <w:r>
        <w:rPr>
          <w:sz w:val="24"/>
        </w:rPr>
        <w:tab/>
        <w:t>Max(F</w:t>
      </w:r>
      <w:r>
        <w:rPr>
          <w:sz w:val="24"/>
          <w:vertAlign w:val="subscript"/>
        </w:rPr>
        <w:t>1</w:t>
      </w:r>
      <w:r>
        <w:rPr>
          <w:sz w:val="24"/>
        </w:rPr>
        <w:t>(t), F</w:t>
      </w:r>
      <w:r>
        <w:rPr>
          <w:sz w:val="24"/>
          <w:vertAlign w:val="subscript"/>
        </w:rPr>
        <w:t>2</w:t>
      </w:r>
      <w:r>
        <w:rPr>
          <w:sz w:val="24"/>
        </w:rPr>
        <w:t>(t)) = F</w:t>
      </w:r>
      <w:r>
        <w:rPr>
          <w:sz w:val="24"/>
          <w:vertAlign w:val="subscript"/>
        </w:rPr>
        <w:t>1</w:t>
      </w:r>
      <w:r>
        <w:rPr>
          <w:sz w:val="24"/>
        </w:rPr>
        <w:t>(t) + max(F</w:t>
      </w:r>
      <w:r>
        <w:rPr>
          <w:sz w:val="24"/>
          <w:vertAlign w:val="subscript"/>
        </w:rPr>
        <w:t>2</w:t>
      </w:r>
      <w:r>
        <w:rPr>
          <w:sz w:val="24"/>
        </w:rPr>
        <w:t>(t) -</w:t>
        <w:tab/>
        <w:t>F</w:t>
      </w:r>
      <w:r>
        <w:rPr>
          <w:sz w:val="24"/>
          <w:vertAlign w:val="subscript"/>
        </w:rPr>
        <w:t>1</w:t>
      </w:r>
      <w:r>
        <w:rPr>
          <w:sz w:val="24"/>
        </w:rPr>
        <w:t>(t), 0)</w:t>
        <w:tab/>
        <w:tab/>
        <w:tab/>
        <w:t>(20)</w:t>
      </w:r>
    </w:p>
    <w:p>
      <w:pPr>
        <w:pStyle w:val="Normal"/>
        <w:numPr>
          <w:ilvl w:val="0"/>
          <w:numId w:val="0"/>
        </w:numPr>
        <w:ind w:hanging="0" w:start="0"/>
        <w:jc w:val="both"/>
        <w:rPr/>
      </w:pPr>
      <w:r>
        <w:rPr>
          <w:sz w:val="24"/>
        </w:rPr>
        <w:tab/>
        <w:t>Min(F</w:t>
      </w:r>
      <w:r>
        <w:rPr>
          <w:sz w:val="24"/>
          <w:vertAlign w:val="subscript"/>
        </w:rPr>
        <w:t>1</w:t>
      </w:r>
      <w:r>
        <w:rPr>
          <w:sz w:val="24"/>
        </w:rPr>
        <w:t>(t), F</w:t>
      </w:r>
      <w:r>
        <w:rPr>
          <w:sz w:val="24"/>
          <w:vertAlign w:val="subscript"/>
        </w:rPr>
        <w:t>2</w:t>
      </w:r>
      <w:r>
        <w:rPr>
          <w:sz w:val="24"/>
        </w:rPr>
        <w:t>(t))  = F</w:t>
      </w:r>
      <w:r>
        <w:rPr>
          <w:sz w:val="24"/>
          <w:vertAlign w:val="subscript"/>
        </w:rPr>
        <w:t>1</w:t>
      </w:r>
      <w:r>
        <w:rPr>
          <w:sz w:val="24"/>
        </w:rPr>
        <w:t>(t) + max(F</w:t>
      </w:r>
      <w:r>
        <w:rPr>
          <w:sz w:val="24"/>
          <w:vertAlign w:val="subscript"/>
        </w:rPr>
        <w:t>2</w:t>
      </w:r>
      <w:r>
        <w:rPr>
          <w:sz w:val="24"/>
        </w:rPr>
        <w:t>(t) - F</w:t>
      </w:r>
      <w:r>
        <w:rPr>
          <w:sz w:val="24"/>
          <w:vertAlign w:val="subscript"/>
        </w:rPr>
        <w:t>1</w:t>
      </w:r>
      <w:r>
        <w:rPr>
          <w:sz w:val="24"/>
        </w:rPr>
        <w:t>(t), 0)</w:t>
        <w:tab/>
        <w:tab/>
        <w:tab/>
        <w:t>(21)</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An option on the maximum of two assets, max(F</w:t>
      </w:r>
      <w:r>
        <w:rPr>
          <w:sz w:val="24"/>
          <w:vertAlign w:val="subscript"/>
        </w:rPr>
        <w:t>1</w:t>
      </w:r>
      <w:r>
        <w:rPr>
          <w:sz w:val="24"/>
        </w:rPr>
        <w:t>,F</w:t>
      </w:r>
      <w:r>
        <w:rPr>
          <w:sz w:val="24"/>
          <w:vertAlign w:val="subscript"/>
        </w:rPr>
        <w:t>2</w:t>
      </w:r>
      <w:r>
        <w:rPr>
          <w:sz w:val="24"/>
        </w:rPr>
        <w:t>), is equivalent to a long forward position plus the option to exchange F</w:t>
      </w:r>
      <w:r>
        <w:rPr>
          <w:sz w:val="24"/>
          <w:vertAlign w:val="subscript"/>
        </w:rPr>
        <w:t>2</w:t>
      </w:r>
      <w:r>
        <w:rPr>
          <w:sz w:val="24"/>
        </w:rPr>
        <w:t xml:space="preserve"> for F</w:t>
      </w:r>
      <w:r>
        <w:rPr>
          <w:sz w:val="24"/>
          <w:vertAlign w:val="subscript"/>
        </w:rPr>
        <w:t>1</w:t>
      </w:r>
      <w:r>
        <w:rPr>
          <w:sz w:val="24"/>
        </w:rPr>
        <w:t xml:space="preserve"> with payoff max(F</w:t>
      </w:r>
      <w:r>
        <w:rPr>
          <w:sz w:val="24"/>
          <w:vertAlign w:val="subscript"/>
        </w:rPr>
        <w:t>2</w:t>
      </w:r>
      <w:r>
        <w:rPr>
          <w:sz w:val="24"/>
        </w:rPr>
        <w:t>- F</w:t>
      </w:r>
      <w:r>
        <w:rPr>
          <w:sz w:val="24"/>
          <w:vertAlign w:val="subscript"/>
        </w:rPr>
        <w:t>1</w:t>
      </w:r>
      <w:r>
        <w:rPr>
          <w:sz w:val="24"/>
        </w:rPr>
        <w:t>, 0). Similarly, a call on the minimum of two assets, min(F</w:t>
      </w:r>
      <w:r>
        <w:rPr>
          <w:sz w:val="24"/>
          <w:vertAlign w:val="subscript"/>
        </w:rPr>
        <w:t>1</w:t>
      </w:r>
      <w:r>
        <w:rPr>
          <w:sz w:val="24"/>
        </w:rPr>
        <w:t>, F</w:t>
      </w:r>
      <w:r>
        <w:rPr>
          <w:sz w:val="24"/>
          <w:vertAlign w:val="subscript"/>
        </w:rPr>
        <w:t>2</w:t>
      </w:r>
      <w:r>
        <w:rPr>
          <w:sz w:val="24"/>
        </w:rPr>
        <w:t>), is equivalent to taking a long forward position in F</w:t>
      </w:r>
      <w:r>
        <w:rPr>
          <w:sz w:val="24"/>
          <w:vertAlign w:val="subscript"/>
        </w:rPr>
        <w:t>2</w:t>
      </w:r>
      <w:r>
        <w:rPr>
          <w:sz w:val="24"/>
        </w:rPr>
        <w:t xml:space="preserve"> and going short the option to exchange F</w:t>
      </w:r>
      <w:r>
        <w:rPr>
          <w:sz w:val="24"/>
          <w:vertAlign w:val="subscript"/>
        </w:rPr>
        <w:t>2</w:t>
      </w:r>
      <w:r>
        <w:rPr>
          <w:sz w:val="24"/>
        </w:rPr>
        <w:t xml:space="preserve"> for F</w:t>
      </w:r>
      <w:r>
        <w:rPr>
          <w:sz w:val="24"/>
          <w:vertAlign w:val="subscript"/>
        </w:rPr>
        <w:t>1</w:t>
      </w:r>
      <w:r>
        <w:rPr>
          <w:sz w:val="24"/>
        </w:rPr>
        <w:t xml:space="preserve">. Of course, we may be interested in valuing options on the maximum or minimum of two commodities when the strike price is non-zero. The solutions for these options, along with several interesting equivalence relations, were first published by Stultz (1982) and are reproduced, for the special case of commodity options, in Appendix B of the present volume. Johnson (1987) </w:t>
      </w:r>
      <w:r>
        <w:rPr>
          <w:color w:val="0000FF"/>
          <w:sz w:val="24"/>
        </w:rPr>
        <w:t>extends</w:t>
      </w:r>
      <w:r>
        <w:rPr>
          <w:sz w:val="24"/>
        </w:rPr>
        <w:t xml:space="preserve"> these results and </w:t>
      </w:r>
      <w:r>
        <w:rPr>
          <w:color w:val="0000FF"/>
          <w:sz w:val="24"/>
        </w:rPr>
        <w:t>derives</w:t>
      </w:r>
      <w:r>
        <w:rPr>
          <w:sz w:val="24"/>
        </w:rPr>
        <w:t xml:space="preserve"> solutions for pricing options on the maximum or the minimum of several assets.</w:t>
      </w:r>
    </w:p>
    <w:p>
      <w:pPr>
        <w:pStyle w:val="Normal"/>
        <w:numPr>
          <w:ilvl w:val="0"/>
          <w:numId w:val="0"/>
        </w:numPr>
        <w:ind w:hanging="0" w:start="0"/>
        <w:jc w:val="both"/>
        <w:rPr>
          <w:sz w:val="24"/>
        </w:rPr>
      </w:pPr>
      <w:r>
        <w:rPr>
          <w:sz w:val="24"/>
        </w:rPr>
      </w:r>
    </w:p>
    <w:p>
      <w:pPr>
        <w:pStyle w:val="Heading3"/>
        <w:numPr>
          <w:ilvl w:val="0"/>
          <w:numId w:val="0"/>
        </w:numPr>
        <w:pBdr>
          <w:left w:val="nil"/>
        </w:pBdr>
        <w:ind w:hanging="0" w:start="0"/>
        <w:rPr>
          <w:sz w:val="24"/>
        </w:rPr>
      </w:pPr>
      <w:r>
        <w:rPr>
          <w:sz w:val="24"/>
        </w:rPr>
      </w:r>
    </w:p>
    <w:p>
      <w:pPr>
        <w:pStyle w:val="Normal"/>
        <w:rPr/>
      </w:pPr>
      <w:r>
        <w:rPr/>
      </w:r>
    </w:p>
    <w:p>
      <w:pPr>
        <w:pStyle w:val="Heading3"/>
        <w:numPr>
          <w:ilvl w:val="0"/>
          <w:numId w:val="0"/>
        </w:numPr>
        <w:pBdr>
          <w:left w:val="nil"/>
        </w:pBdr>
        <w:ind w:hanging="0" w:start="0"/>
        <w:rPr>
          <w:color w:val="008000"/>
        </w:rPr>
      </w:pPr>
      <w:r>
        <w:rPr>
          <w:color w:val="008000"/>
        </w:rPr>
        <w:t xml:space="preserve">Basket options </w:t>
      </w:r>
    </w:p>
    <w:p>
      <w:pPr>
        <w:pStyle w:val="Normal"/>
        <w:numPr>
          <w:ilvl w:val="0"/>
          <w:numId w:val="0"/>
        </w:numPr>
        <w:ind w:hanging="0" w:start="0"/>
        <w:jc w:val="both"/>
        <w:rPr>
          <w:color w:val="008000"/>
          <w:sz w:val="24"/>
        </w:rPr>
      </w:pPr>
      <w:r>
        <w:rPr>
          <w:color w:val="008000"/>
          <w:sz w:val="24"/>
        </w:rPr>
      </w:r>
    </w:p>
    <w:p>
      <w:pPr>
        <w:pStyle w:val="Normal"/>
        <w:numPr>
          <w:ilvl w:val="0"/>
          <w:numId w:val="0"/>
        </w:numPr>
        <w:ind w:hanging="0" w:start="0"/>
        <w:jc w:val="both"/>
        <w:rPr>
          <w:color w:val="008000"/>
          <w:sz w:val="24"/>
        </w:rPr>
      </w:pPr>
      <w:r>
        <w:rPr>
          <w:color w:val="008000"/>
          <w:sz w:val="24"/>
        </w:rPr>
        <w:t>Many energy price risk management situations may require options that have as the underlying asset, not a single energy commodity but a basket of commodities.  The weighted average price of this basket then drives the payoff of the option.  Situations where these options can be used include hedges for gas fractionation plants that take natural gas as input and produce a basket of natural gas liquids, usually including ethane, propane, butane, and natural gasoline. There are also many situations where the price of a commodity such as electricity adjusts according to an index.  The index often consists of a basket of fuel prices including fuel oil and natural gas. Similarly, in Europe it is not uncommon to find natural gas priced off of an index defined as a weighted average of several benchmark crude and fuel oil prices.</w:t>
      </w:r>
    </w:p>
    <w:p>
      <w:pPr>
        <w:pStyle w:val="Normal"/>
        <w:numPr>
          <w:ilvl w:val="0"/>
          <w:numId w:val="0"/>
        </w:numPr>
        <w:ind w:hanging="0" w:start="0"/>
        <w:jc w:val="both"/>
        <w:rPr>
          <w:color w:val="008000"/>
          <w:sz w:val="24"/>
        </w:rPr>
      </w:pPr>
      <w:r>
        <w:rPr>
          <w:color w:val="008000"/>
          <w:sz w:val="24"/>
        </w:rPr>
      </w:r>
    </w:p>
    <w:p>
      <w:pPr>
        <w:pStyle w:val="Normal"/>
        <w:numPr>
          <w:ilvl w:val="0"/>
          <w:numId w:val="0"/>
        </w:numPr>
        <w:ind w:hanging="0" w:start="0"/>
        <w:jc w:val="both"/>
        <w:rPr>
          <w:color w:val="008000"/>
          <w:sz w:val="24"/>
        </w:rPr>
      </w:pPr>
      <w:r>
        <w:rPr>
          <w:color w:val="008000"/>
          <w:sz w:val="24"/>
        </w:rPr>
        <w:tab/>
        <w:t xml:space="preserve">The simplest method of extending most option models to a basket option version; Calculate the forward price and volatility of the basket and treat the basket as the underlying commodity.   In doing this, one makes the implicit assumption that the price density function of future basket price is lognormal which is not consistent with the assumption that the price distribution for each individual component of the basket is also lognormal.  Nonetheless, this assumption is often convenient and may produce reasonably accurate option pricing.   Gentle (1993) and Huynh (1994) discuss lognormal approximations for basket options.  </w:t>
      </w:r>
    </w:p>
    <w:p>
      <w:pPr>
        <w:pStyle w:val="Normal"/>
        <w:numPr>
          <w:ilvl w:val="0"/>
          <w:numId w:val="0"/>
        </w:numPr>
        <w:ind w:hanging="0" w:start="0"/>
        <w:jc w:val="both"/>
        <w:rPr>
          <w:color w:val="008000"/>
          <w:sz w:val="24"/>
        </w:rPr>
      </w:pPr>
      <w:r>
        <w:rPr>
          <w:color w:val="008000"/>
          <w:sz w:val="24"/>
        </w:rPr>
      </w:r>
    </w:p>
    <w:p>
      <w:pPr>
        <w:pStyle w:val="Normal"/>
        <w:numPr>
          <w:ilvl w:val="0"/>
          <w:numId w:val="0"/>
        </w:numPr>
        <w:ind w:hanging="0" w:start="0"/>
        <w:jc w:val="both"/>
        <w:rPr>
          <w:color w:val="008000"/>
          <w:sz w:val="24"/>
        </w:rPr>
      </w:pPr>
      <w:r>
        <w:rPr>
          <w:color w:val="008000"/>
          <w:sz w:val="24"/>
        </w:rPr>
        <w:tab/>
        <w:t>Milevsky and Posner (1998a) investigate use of the reciprocal gamma distribution as an approximation for the price distribution of the basket.  They find that the bias in resulting option values seems to be complementary to the bias generated under the lognormal approximation so that a combination of the two methods may generate more accurate results than either when used individually.</w:t>
      </w:r>
    </w:p>
    <w:p>
      <w:pPr>
        <w:pStyle w:val="Normal"/>
        <w:numPr>
          <w:ilvl w:val="0"/>
          <w:numId w:val="0"/>
        </w:numPr>
        <w:ind w:hanging="0" w:start="0"/>
        <w:jc w:val="both"/>
        <w:rPr>
          <w:i/>
          <w:i/>
          <w:color w:val="008000"/>
          <w:sz w:val="24"/>
          <w:u w:val="single"/>
        </w:rPr>
      </w:pPr>
      <w:r>
        <w:rPr>
          <w:i/>
          <w:color w:val="008000"/>
          <w:sz w:val="24"/>
          <w:u w:val="single"/>
        </w:rPr>
      </w:r>
    </w:p>
    <w:p>
      <w:pPr>
        <w:pStyle w:val="Normal"/>
        <w:numPr>
          <w:ilvl w:val="0"/>
          <w:numId w:val="0"/>
        </w:numPr>
        <w:ind w:hanging="0" w:start="0"/>
        <w:jc w:val="both"/>
        <w:rPr/>
      </w:pPr>
      <w:r>
        <w:rPr>
          <w:b/>
          <w:color w:val="0000FF"/>
          <w:sz w:val="24"/>
        </w:rPr>
        <w:t>Compound options</w:t>
      </w:r>
      <w:r>
        <w:rPr>
          <w:color w:val="0000FF"/>
          <w:sz w:val="24"/>
        </w:rPr>
        <w:t xml:space="preserve"> </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color w:val="0000FF"/>
          <w:sz w:val="24"/>
        </w:rPr>
      </w:pPr>
      <w:r>
        <w:rPr>
          <w:color w:val="0000FF"/>
          <w:sz w:val="24"/>
        </w:rPr>
        <w:t>An option which allows its holder to purchase or sell another option for a fixed price is called a compound option. We will use the term “overlying option” to refer to the compound option, and the term “underlying option” to refer to the option which can be called or put by the holder of the compound option. In the simplest case, the underlying options are simple calls or puts on an underlying commodity future or forward. Typical cases of compound options include European-European options, which may be classified as call on a call, call on a put, put on a call, and put on a put. We shall use a call on a put as an illustration.</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color w:val="0000FF"/>
          <w:sz w:val="24"/>
        </w:rPr>
        <w:tab/>
        <w:t>The purchase of a European call on a put means that the compound option buyer obtains the right to buy on a specified day (the expiration of the overlying option, T</w:t>
      </w:r>
      <w:r>
        <w:rPr>
          <w:color w:val="0000FF"/>
          <w:sz w:val="24"/>
          <w:vertAlign w:val="subscript"/>
        </w:rPr>
        <w:t>o</w:t>
      </w:r>
      <w:r>
        <w:rPr>
          <w:color w:val="0000FF"/>
          <w:sz w:val="24"/>
        </w:rPr>
        <w:t>) a put option (the underlying option) at the overlying option’s strike price, K</w:t>
      </w:r>
      <w:r>
        <w:rPr>
          <w:color w:val="0000FF"/>
          <w:sz w:val="24"/>
          <w:vertAlign w:val="subscript"/>
        </w:rPr>
        <w:t>o</w:t>
      </w:r>
      <w:r>
        <w:rPr>
          <w:color w:val="0000FF"/>
          <w:sz w:val="24"/>
        </w:rPr>
        <w:t>. The underlying put has a strike of K</w:t>
      </w:r>
      <w:r>
        <w:rPr>
          <w:color w:val="0000FF"/>
          <w:sz w:val="24"/>
          <w:vertAlign w:val="subscript"/>
        </w:rPr>
        <w:t>u</w:t>
      </w:r>
      <w:r>
        <w:rPr>
          <w:color w:val="0000FF"/>
          <w:sz w:val="24"/>
        </w:rPr>
        <w:t xml:space="preserve"> and expires at an agreed time, T</w:t>
      </w:r>
      <w:r>
        <w:rPr>
          <w:color w:val="0000FF"/>
          <w:sz w:val="24"/>
          <w:vertAlign w:val="subscript"/>
        </w:rPr>
        <w:t>u</w:t>
      </w:r>
      <w:r>
        <w:rPr>
          <w:color w:val="0000FF"/>
          <w:sz w:val="24"/>
        </w:rPr>
        <w:t>. At the overlying option’s expiration, the holder can either:</w:t>
      </w:r>
    </w:p>
    <w:p>
      <w:pPr>
        <w:pStyle w:val="Normal"/>
        <w:numPr>
          <w:ilvl w:val="0"/>
          <w:numId w:val="0"/>
        </w:numPr>
        <w:ind w:hanging="0" w:start="0"/>
        <w:jc w:val="both"/>
        <w:rPr/>
      </w:pPr>
      <w:r>
        <w:rPr>
          <w:sz w:val="24"/>
        </w:rPr>
        <w:t>-exercise the overlying option, i.e. purchase the underlying put, paying the premium equal to the strike of the overlying option, K</w:t>
      </w:r>
      <w:r>
        <w:rPr>
          <w:sz w:val="24"/>
          <w:vertAlign w:val="subscript"/>
        </w:rPr>
        <w:t>o</w:t>
      </w:r>
      <w:r>
        <w:rPr>
          <w:sz w:val="24"/>
        </w:rPr>
        <w:t xml:space="preserve">; or </w:t>
      </w:r>
    </w:p>
    <w:p>
      <w:pPr>
        <w:pStyle w:val="Normal"/>
        <w:numPr>
          <w:ilvl w:val="0"/>
          <w:numId w:val="0"/>
        </w:numPr>
        <w:ind w:hanging="0" w:start="0"/>
        <w:jc w:val="both"/>
        <w:rPr>
          <w:sz w:val="24"/>
        </w:rPr>
      </w:pPr>
      <w:r>
        <w:rPr>
          <w:sz w:val="24"/>
        </w:rPr>
        <w:t>-allow the overlying option to expire worthless.</w:t>
      </w:r>
    </w:p>
    <w:p>
      <w:pPr>
        <w:pStyle w:val="Normal"/>
        <w:numPr>
          <w:ilvl w:val="0"/>
          <w:numId w:val="0"/>
        </w:numPr>
        <w:ind w:hanging="0" w:start="0"/>
        <w:jc w:val="both"/>
        <w:rPr>
          <w:sz w:val="24"/>
        </w:rPr>
      </w:pPr>
      <w:r>
        <w:rPr>
          <w:sz w:val="24"/>
        </w:rPr>
        <w:tab/>
      </w:r>
    </w:p>
    <w:p>
      <w:pPr>
        <w:pStyle w:val="Normal"/>
        <w:numPr>
          <w:ilvl w:val="0"/>
          <w:numId w:val="0"/>
        </w:numPr>
        <w:ind w:firstLine="720" w:start="0" w:end="0"/>
        <w:jc w:val="both"/>
        <w:rPr>
          <w:sz w:val="24"/>
        </w:rPr>
      </w:pPr>
      <w:r>
        <w:rPr>
          <w:sz w:val="24"/>
        </w:rPr>
        <w:t>Compound options offer a method of locking in commodity price protection at an initial cost which is lower than that of the purchase of a cap or floor. These options are also useful for locking in the cost of price protection when the need for that protection is contingent on some future event (see Panel 6 overleaf).</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pPr>
      <w:r>
        <w:rPr>
          <w:sz w:val="24"/>
        </w:rPr>
        <w:tab/>
        <w:t>Figure 7 shows the price of compound options (calls on puts) for three different overlying strikes. At the inception of the compound option, the premium of the underlying option is $1.06, so that for K</w:t>
      </w:r>
      <w:r>
        <w:rPr>
          <w:sz w:val="24"/>
          <w:vertAlign w:val="subscript"/>
        </w:rPr>
        <w:t>o</w:t>
      </w:r>
      <w:r>
        <w:rPr>
          <w:sz w:val="24"/>
        </w:rPr>
        <w:t>=$1.06 the compound option has an at-the-money overlying strike price. When K</w:t>
      </w:r>
      <w:r>
        <w:rPr>
          <w:sz w:val="24"/>
          <w:vertAlign w:val="subscript"/>
        </w:rPr>
        <w:t>o</w:t>
      </w:r>
      <w:r>
        <w:rPr>
          <w:sz w:val="24"/>
        </w:rPr>
        <w:t>=$2.00, the compound option is an out-of-the-money option, and when K</w:t>
      </w:r>
      <w:r>
        <w:rPr>
          <w:sz w:val="24"/>
          <w:vertAlign w:val="subscript"/>
        </w:rPr>
        <w:t>o</w:t>
      </w:r>
      <w:r>
        <w:rPr>
          <w:sz w:val="24"/>
        </w:rPr>
        <w:t>=$0.50 the compound option is in-the-money with an intrinsic value of about $0.56. Figure 7 illustrates the typical behaviour of such an option. The options lose value as they come closer to expiration, with the at-the-money and the out-of-the-money option values approaching zero for very short tenors.</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r>
      <w:r>
        <w:rPr>
          <w:color w:val="0000FF"/>
          <w:sz w:val="24"/>
        </w:rPr>
        <w:t xml:space="preserve">The simple European on European compound options can be priced using the results of Geske (1979). These pricing formulae are reproduced in Appendix B of the present volume. </w:t>
      </w:r>
    </w:p>
    <w:p>
      <w:pPr>
        <w:pStyle w:val="Normal"/>
        <w:numPr>
          <w:ilvl w:val="0"/>
          <w:numId w:val="0"/>
        </w:numPr>
        <w:ind w:hanging="0" w:start="0"/>
        <w:jc w:val="both"/>
        <w:rPr>
          <w:color w:val="0000FF"/>
          <w:sz w:val="24"/>
        </w:rPr>
      </w:pPr>
      <w:r>
        <w:rPr>
          <w:color w:val="0000FF"/>
          <w:sz w:val="24"/>
        </w:rPr>
      </w:r>
    </w:p>
    <w:p>
      <w:pPr>
        <w:pStyle w:val="BodyTextIndent"/>
        <w:rPr/>
      </w:pPr>
      <w:r>
        <w:rPr/>
        <w:t xml:space="preserve">The pricing of a compound option becomes more challenging when the underlying option is more complex than a simple call or put.  In some energy markets, these more complicated compound option structures are seen reasonably often in the OTC markets.  In the power markets, for example, purchasers of generation are accustomed to making a “capacity” payment to reserve the right to purchase fixed price power over a specified period.  Viewed financially, the capacity payment is simply the premium paid to purchase a call option on electricity, so an option on capacity becomes a compound option.  This type of compound option can become complicated because of the specific terms attached to the underlying call option on power.  For example, after exercising the overlying capacity option, the option buyer may be allowed to call on up to 100 Megawatts of on-peak power for one week, but is limited to a 60% capacity factor.  That is, may take a total quantity of power only up to 100MW times 60% times the total number of hours covered by the option.  In practice, the underlying option may have a number of complicated provisions specifying maximum rates and total quantities of power that may be called, minimum sizes of hourly blocks for which calls can be exercised, and multiple possible delivery points (and whether the delivery option is held by the power seller or buyer).   </w:t>
      </w:r>
    </w:p>
    <w:p>
      <w:pPr>
        <w:pStyle w:val="Normal"/>
        <w:numPr>
          <w:ilvl w:val="0"/>
          <w:numId w:val="0"/>
        </w:numPr>
        <w:ind w:firstLine="720" w:start="0" w:end="0"/>
        <w:jc w:val="both"/>
        <w:rPr>
          <w:color w:val="0000FF"/>
          <w:sz w:val="24"/>
        </w:rPr>
      </w:pPr>
      <w:r>
        <w:rPr>
          <w:color w:val="0000FF"/>
          <w:sz w:val="24"/>
        </w:rPr>
      </w:r>
    </w:p>
    <w:p>
      <w:pPr>
        <w:pStyle w:val="Normal"/>
        <w:numPr>
          <w:ilvl w:val="0"/>
          <w:numId w:val="0"/>
        </w:numPr>
        <w:ind w:firstLine="720" w:start="0" w:end="0"/>
        <w:jc w:val="both"/>
        <w:rPr/>
      </w:pPr>
      <w:r>
        <w:rPr>
          <w:color w:val="0000FF"/>
          <w:sz w:val="24"/>
        </w:rPr>
        <w:t>Another type of compound option sometimes seen in the crude and natural gas markets is an option on a structure that contains options.   This type of compound might be an overlying option which gives the holder the right to purchase a one year price “collar” constructed of monthly settled caps and floors</w:t>
      </w:r>
      <w:r>
        <w:rPr>
          <w:color w:val="FF00FF"/>
          <w:sz w:val="24"/>
        </w:rPr>
        <w:t>. A collar is an option transaction that involves the simultaneous sale of a call (put) and purchase of a put (call). The strikes are often calibrated to make the sale price of one option equal to the other’s purchase price, to create a so-called “zero-cost collar”. A compound option may be defined as a right to enter into a zero-cost collar (at today’s prices), at some point in the future. If, and when, this right is exercised, the market might have moved so that the collar would no longer be costless under the current market prices</w:t>
      </w:r>
      <w:r>
        <w:rPr>
          <w:color w:val="0000FF"/>
          <w:sz w:val="24"/>
        </w:rPr>
        <w:t>. Similarly, one could have a compound option where the underlying option might be simply a strip of monthly caps or floors.</w:t>
      </w:r>
    </w:p>
    <w:p>
      <w:pPr>
        <w:pStyle w:val="Normal"/>
        <w:numPr>
          <w:ilvl w:val="0"/>
          <w:numId w:val="0"/>
        </w:numPr>
        <w:ind w:firstLine="720" w:start="0" w:end="0"/>
        <w:jc w:val="both"/>
        <w:rPr>
          <w:color w:val="0000FF"/>
          <w:sz w:val="24"/>
        </w:rPr>
      </w:pPr>
      <w:r>
        <w:rPr>
          <w:color w:val="0000FF"/>
          <w:sz w:val="24"/>
        </w:rPr>
      </w:r>
    </w:p>
    <w:p>
      <w:pPr>
        <w:pStyle w:val="Normal"/>
        <w:numPr>
          <w:ilvl w:val="0"/>
          <w:numId w:val="0"/>
        </w:numPr>
        <w:ind w:firstLine="720" w:start="0" w:end="0"/>
        <w:jc w:val="both"/>
        <w:rPr>
          <w:color w:val="0000FF"/>
          <w:sz w:val="24"/>
        </w:rPr>
      </w:pPr>
      <w:r>
        <w:rPr>
          <w:color w:val="0000FF"/>
          <w:sz w:val="24"/>
        </w:rPr>
        <w:t>Such complicated structures are offered in the OTC markets by a few of the more sophisticated marketers. Another example, an oil warrant, is an American option on an Asian option issued by Paribas Capital Markets Group Ltd in March 1991 (see Panel 7). Such options can be priced using numerical procedures, and the recommended approach is a binomial or trinomial tree procedure.</w:t>
      </w:r>
    </w:p>
    <w:p>
      <w:pPr>
        <w:pStyle w:val="Normal"/>
        <w:numPr>
          <w:ilvl w:val="0"/>
          <w:numId w:val="0"/>
        </w:numPr>
        <w:ind w:firstLine="720" w:start="0" w:end="0"/>
        <w:jc w:val="both"/>
        <w:rPr>
          <w:color w:val="0000FF"/>
          <w:sz w:val="24"/>
        </w:rPr>
      </w:pPr>
      <w:r>
        <w:rPr>
          <w:color w:val="0000FF"/>
          <w:sz w:val="24"/>
        </w:rPr>
      </w:r>
    </w:p>
    <w:p>
      <w:pPr>
        <w:pStyle w:val="Heading1"/>
        <w:widowControl w:val="false"/>
        <w:numPr>
          <w:ilvl w:val="0"/>
          <w:numId w:val="0"/>
        </w:numPr>
        <w:ind w:hanging="0" w:start="0"/>
        <w:rPr>
          <w:rFonts w:ascii="Times New Roman" w:hAnsi="Times New Roman" w:cs="Times New Roman"/>
          <w:lang w:val="en-GB"/>
        </w:rPr>
      </w:pPr>
      <w:r>
        <w:rPr>
          <w:rFonts w:cs="Times New Roman" w:ascii="Times New Roman" w:hAnsi="Times New Roman"/>
          <w:lang w:val="en-GB"/>
        </w:rPr>
        <w:t>Digital options</w:t>
      </w:r>
    </w:p>
    <w:p>
      <w:pPr>
        <w:pStyle w:val="Normal"/>
        <w:numPr>
          <w:ilvl w:val="0"/>
          <w:numId w:val="0"/>
        </w:numPr>
        <w:ind w:hanging="0" w:start="0"/>
        <w:rPr>
          <w:rFonts w:ascii="Times New Roman" w:hAnsi="Times New Roman" w:cs="Times New Roman"/>
          <w:lang w:val="en-GB"/>
        </w:rPr>
      </w:pPr>
      <w:r>
        <w:rPr>
          <w:rFonts w:cs="Times New Roman"/>
          <w:lang w:val="en-GB"/>
        </w:rPr>
      </w:r>
    </w:p>
    <w:p>
      <w:pPr>
        <w:pStyle w:val="BodyText"/>
        <w:numPr>
          <w:ilvl w:val="0"/>
          <w:numId w:val="0"/>
        </w:numPr>
        <w:ind w:hanging="0" w:start="0"/>
        <w:jc w:val="both"/>
        <w:rPr>
          <w:rFonts w:ascii="Times New Roman" w:hAnsi="Times New Roman" w:cs="Times New Roman"/>
          <w:sz w:val="24"/>
        </w:rPr>
      </w:pPr>
      <w:r>
        <w:rPr>
          <w:rFonts w:cs="Times New Roman" w:ascii="Times New Roman" w:hAnsi="Times New Roman"/>
          <w:sz w:val="24"/>
        </w:rPr>
        <w:t>Digital options have discontinuous payoffs and, although not widely used in the energy markets, do sometimes find themselves embedded in swap and option structures.  They are typically used when the customer has a strong view about the relation of future energy prices to certain specific price levels.</w:t>
      </w:r>
    </w:p>
    <w:p>
      <w:pPr>
        <w:pStyle w:val="BodyText"/>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Normal"/>
        <w:numPr>
          <w:ilvl w:val="0"/>
          <w:numId w:val="0"/>
        </w:numPr>
        <w:ind w:firstLine="720" w:start="0" w:end="0"/>
        <w:jc w:val="both"/>
        <w:rPr>
          <w:color w:val="0000FF"/>
          <w:sz w:val="24"/>
        </w:rPr>
      </w:pPr>
      <w:r>
        <w:rPr>
          <w:color w:val="0000FF"/>
          <w:sz w:val="24"/>
        </w:rPr>
        <w:t>Digital (or binary) options typically pay either a constant value or zero depending on whether the payoff condition is satisfied or not. Examples of such options are provided by cash-or-nothing options and asset-or-nothing options (see Rubinstein and Reiner, 1991b). A cash-or-nothing call on cash amount, X, pays X if F(T) is greater than its strike, K, or otherwise pays nothing. Similarly a cash-or-nothing put pays X if F(T) is less than K, or pays nothing. The valuation of such an option is straightforward: its expected payoff at expiration is given by the payoff amount, X, times the (risk-neutral) probability that the option will finish in-the-money. This price is equal to XN(d2), using the symbols used in formula (2a), discounted to the valuation date. The asset-or-nothing call will pay the value of the underlying instrument if the option ends in-the-money, but nothing otherwise. Its price is equal to the expected value of the asset, conditional upon the price of the asset exceeding the strike at expiration. This conditional expected value is equal to F(t)N(d1) (F(t)N(-d1) for the put), again using the symbols as defined for formula (2a).</w:t>
      </w:r>
    </w:p>
    <w:p>
      <w:pPr>
        <w:pStyle w:val="Normal"/>
        <w:numPr>
          <w:ilvl w:val="0"/>
          <w:numId w:val="0"/>
        </w:numPr>
        <w:ind w:firstLine="720" w:start="0" w:end="0"/>
        <w:jc w:val="both"/>
        <w:rPr>
          <w:color w:val="0000FF"/>
          <w:sz w:val="24"/>
        </w:rPr>
      </w:pPr>
      <w:r>
        <w:rPr>
          <w:color w:val="0000FF"/>
          <w:sz w:val="24"/>
        </w:rPr>
      </w:r>
    </w:p>
    <w:p>
      <w:pPr>
        <w:pStyle w:val="Normal"/>
        <w:numPr>
          <w:ilvl w:val="0"/>
          <w:numId w:val="0"/>
        </w:numPr>
        <w:ind w:firstLine="720" w:start="0" w:end="0"/>
        <w:jc w:val="both"/>
        <w:rPr/>
      </w:pPr>
      <w:r>
        <w:rPr>
          <w:color w:val="0000FF"/>
          <w:sz w:val="24"/>
        </w:rPr>
        <w:t>Some digitals are offered with the additional provision that no premium is paid for the option at inception. Cash settlement of these options occurs only if the option finishes in-the-money. Options expiring out-of-the-money require no payment by either buyer or writer. Such options are known variously as cash-on-delivery (COD), pay-later, or contingent options.</w:t>
      </w:r>
      <w:r>
        <w:rPr>
          <w:sz w:val="24"/>
        </w:rPr>
        <w:t xml:space="preserve">  </w:t>
      </w:r>
      <w:r>
        <w:rPr>
          <w:color w:val="0000FF"/>
          <w:sz w:val="24"/>
        </w:rPr>
        <w:t>In the case of these options, the buyer does not receive the full payoff given by the difference F(T)-K (K-F(T)) for a call (put). The amount deducted from the full payoff may be viewed as paying for the option. This payoff is necessarily negative for some values of F(T), making these options quite painful to the buyer on some occasions.</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sz w:val="24"/>
        </w:rPr>
        <w:tab/>
      </w:r>
      <w:r>
        <w:rPr>
          <w:color w:val="0000FF"/>
          <w:sz w:val="24"/>
        </w:rPr>
        <w:t xml:space="preserve">COD options, like other binary options, are quite difficult to hedge. This is illustrated by the behaviour of the put option’s delta and gamma, which are shown in Figure 8.  Turnbull (1992) discusses a method for hedging COD options using European options. </w:t>
      </w:r>
    </w:p>
    <w:p>
      <w:pPr>
        <w:pStyle w:val="Normal"/>
        <w:numPr>
          <w:ilvl w:val="0"/>
          <w:numId w:val="0"/>
        </w:numPr>
        <w:ind w:hanging="0" w:start="0"/>
        <w:jc w:val="both"/>
        <w:rPr>
          <w:color w:val="0000FF"/>
          <w:sz w:val="24"/>
        </w:rPr>
      </w:pPr>
      <w:r>
        <w:rPr>
          <w:color w:val="0000FF"/>
          <w:sz w:val="24"/>
        </w:rPr>
      </w:r>
    </w:p>
    <w:p>
      <w:pPr>
        <w:pStyle w:val="Heading4"/>
        <w:numPr>
          <w:ilvl w:val="0"/>
          <w:numId w:val="0"/>
        </w:numPr>
        <w:ind w:hanging="0" w:start="0"/>
        <w:rPr/>
      </w:pPr>
      <w:r>
        <w:rPr/>
        <w:t xml:space="preserve">Hybrid and Complex Structures </w:t>
      </w:r>
    </w:p>
    <w:p>
      <w:pPr>
        <w:pStyle w:val="Normal"/>
        <w:numPr>
          <w:ilvl w:val="0"/>
          <w:numId w:val="0"/>
        </w:numPr>
        <w:ind w:hanging="0" w:start="0"/>
        <w:jc w:val="both"/>
        <w:rPr>
          <w:b/>
          <w:color w:val="0000FF"/>
          <w:sz w:val="24"/>
        </w:rPr>
      </w:pPr>
      <w:r>
        <w:rPr>
          <w:b/>
          <w:color w:val="0000FF"/>
          <w:sz w:val="24"/>
        </w:rPr>
      </w:r>
    </w:p>
    <w:p>
      <w:pPr>
        <w:pStyle w:val="Normal"/>
        <w:numPr>
          <w:ilvl w:val="0"/>
          <w:numId w:val="0"/>
        </w:numPr>
        <w:ind w:hanging="0" w:start="0"/>
        <w:jc w:val="both"/>
        <w:rPr/>
      </w:pPr>
      <w:r>
        <w:rPr>
          <w:color w:val="0000FF"/>
          <w:sz w:val="24"/>
        </w:rPr>
        <w:t xml:space="preserve">There are a number of types of options commonly seen in the energy markets that combine aspects of the exotics mentioned above.  One of the most common practices in the energy markets is to settle against an average of prices over some time period.  Thus Asian options are pervasive in these markets.  Perhaps the most prevalent </w:t>
      </w:r>
      <w:r>
        <w:rPr>
          <w:color w:val="008000"/>
          <w:sz w:val="24"/>
        </w:rPr>
        <w:t>type of average</w:t>
      </w:r>
      <w:r>
        <w:rPr>
          <w:color w:val="0000FF"/>
          <w:sz w:val="24"/>
        </w:rPr>
        <w:t xml:space="preserve"> is the calendar month </w:t>
      </w:r>
      <w:r>
        <w:rPr>
          <w:color w:val="008000"/>
          <w:sz w:val="24"/>
        </w:rPr>
        <w:t>averaging</w:t>
      </w:r>
      <w:r>
        <w:rPr>
          <w:color w:val="0000FF"/>
          <w:sz w:val="24"/>
        </w:rPr>
        <w:t xml:space="preserve"> of a daily closing price (for futures) or a daily index price (for spot or physical commodities).</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rPr>
          <w:color w:val="0000FF"/>
          <w:sz w:val="24"/>
        </w:rPr>
      </w:pPr>
      <w:r>
        <w:rPr>
          <w:color w:val="0000FF"/>
          <w:sz w:val="24"/>
        </w:rPr>
        <w:tab/>
        <w:t xml:space="preserve">Asian style averaging is often combined with spread options to give rise to Asian spread options.  These may take the form of commodity spreads, such as an option which settles against the difference of the monthly average price of WTI futures and heating oil futures closing prices.  Other Asian spread options can be written against averages which are not settled contemporaneously.  Consider a customer who wants to purchase an Asian calendar spread option which settles against the actual closing prices for March vs. April.  One leg of the spread is determined by the average of natural gas daily prices for March, and the other leg is determined by the average prices in April.  Because the two averages are determined over different, lagged time periods, we christen this option the Asian lagged spread option. </w:t>
      </w:r>
      <w:r>
        <w:rPr>
          <w:color w:val="008000"/>
          <w:sz w:val="24"/>
        </w:rPr>
        <w:t>Note that when the price for the early leg of the spread has been determined, this option becomes equivalent to an ordinary Asian option with a strike price defined by the determined leg of the spread.</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rPr>
          <w:sz w:val="24"/>
        </w:rPr>
      </w:pPr>
      <w:r>
        <w:rPr>
          <w:sz w:val="24"/>
        </w:rPr>
        <w:t>Another twist sometimes added on top of the Asian option is to make the underlying asset a basket of commodities, thus giving rise to the Asian basket option. Of course this leads to the obvious possibility of having Asian basket spreads and Asian basket lagged spreads.  The possibilities open to energy marketers are endless.</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b/>
          <w:sz w:val="24"/>
        </w:rPr>
        <w:t>Natural Gas Daily Options</w:t>
      </w:r>
      <w:r>
        <w:rPr>
          <w:sz w:val="24"/>
        </w:rPr>
        <w:t xml:space="preserve">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 xml:space="preserve">One of the interesting features of the US natural gas industry is that monthly contracts on the physical delivery of gas in the following month are negotiated during a relatively short period of time at the end of each month (typically between the 20th and the 25th of each calendar month). The period when the sales/purchase contracts are negotiated is known as a bid-week. Contracts negotiated during the bid week traditionally had options embedded in them, long before the theory for pricing these options had been developed. </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Take-or-pay contracts, discussed earlier, are an example of contracts with embedded options. Another type of option with a long history in the natural gas markets is the daily call option, which allows the buyer to take additional volumes of gas at very short notice (typically, one day). Such options have several interesting features, such as “forward start” and volume restrictions, which complicate pricing.</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A forward start option written at time t0, say, is an option with a strike price which will be set at-the-money at a later time t1(t1&gt;t0) and which will expire at time t2(t2&gt;t1). The price of such an option at t0 is equal to the price of a corresponding at-the-money option whose time to expiration is t2-t1, valued at t1 and then discounted back to t0 (eg Rubinstein, 1991a). The forward start feature means that the strike price is made equal to the gas index for a given location at the beginning of the delivery month for which the option is written. The price indices used for this purpose are compiled by industry newsletters such as Inside F.E.R.C., Natural Gas Week and Natural Gas Intelligence, and are based on surveys of transaction prices during the bid week. These indices are published in the first issues of the newsletters in each month, and they closely reflect the market conditions prevailing at that time. With some qualifications, we can assume that the options are at-the-money at their inception on the first day of the month. The buyer may exercise them whenever the daily price exceeds the strike. </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r>
      <w:r>
        <w:rPr>
          <w:color w:val="0000FF"/>
          <w:sz w:val="24"/>
        </w:rPr>
        <w:t xml:space="preserve">The ability to change on a daily basis volume of gas purchases is usually referred to by the term </w:t>
      </w:r>
      <w:r>
        <w:rPr>
          <w:i/>
          <w:color w:val="0000FF"/>
          <w:sz w:val="24"/>
        </w:rPr>
        <w:t>swing</w:t>
      </w:r>
      <w:r>
        <w:rPr>
          <w:color w:val="0000FF"/>
          <w:sz w:val="24"/>
        </w:rPr>
        <w:t xml:space="preserve">. In addition to this daily option feature, swing options can have restrictions on the monthly volumes that the buyer can purchase. Consider a contract where one party agrees to purchase gas during a 30-day month at the first of the month index price. The volume of gas purchased on any given day has a maximum of 15,000 MMBTU and a minimum of 5,000 MMBTU. Also, the contract can require the buyer to take no less than 200,000 MMBTU but no more than 300,000 MMBTU of gas for the whole month. If the volume taken during the month falls below the minimum required, the buyer may have to pay a penalty on the amount by which the volume purchased falls below the minimum. This type of provision is typical of the </w:t>
      </w:r>
      <w:r>
        <w:rPr>
          <w:i/>
          <w:color w:val="0000FF"/>
          <w:sz w:val="24"/>
        </w:rPr>
        <w:t>take-or-pay</w:t>
      </w:r>
      <w:r>
        <w:rPr>
          <w:color w:val="0000FF"/>
          <w:sz w:val="24"/>
        </w:rPr>
        <w:t xml:space="preserve"> contracts so common in the natural gas industry.</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color w:val="0000FF"/>
          <w:sz w:val="24"/>
        </w:rPr>
        <w:tab/>
        <w:t xml:space="preserve">In addition to the limits on daily and monthly volumes, there can be additional provisions in the contract. The buyer can have the ability to change the volume from one day to the next, but only in discrete steps. This is referred to as </w:t>
      </w:r>
      <w:r>
        <w:rPr>
          <w:i/>
          <w:color w:val="0000FF"/>
          <w:sz w:val="24"/>
        </w:rPr>
        <w:t>ratcheting</w:t>
      </w:r>
      <w:r>
        <w:rPr>
          <w:color w:val="0000FF"/>
          <w:sz w:val="24"/>
        </w:rPr>
        <w:t>. For example, the contract mentioned above can require that the buyer change the daily volume by no more than 2000 MMBTU on any given day. Also, the number of times the buyer can make such volume changes during the month can be restricted.</w:t>
      </w:r>
    </w:p>
    <w:p>
      <w:pPr>
        <w:pStyle w:val="Normal"/>
        <w:numPr>
          <w:ilvl w:val="0"/>
          <w:numId w:val="0"/>
        </w:numPr>
        <w:ind w:hanging="0" w:start="0"/>
        <w:jc w:val="both"/>
        <w:rPr>
          <w:color w:val="0000FF"/>
          <w:sz w:val="24"/>
        </w:rPr>
      </w:pPr>
      <w:r>
        <w:rPr>
          <w:color w:val="0000FF"/>
          <w:sz w:val="24"/>
        </w:rPr>
      </w:r>
    </w:p>
    <w:p>
      <w:pPr>
        <w:pStyle w:val="Normal"/>
        <w:numPr>
          <w:ilvl w:val="0"/>
          <w:numId w:val="0"/>
        </w:numPr>
        <w:ind w:firstLine="720" w:start="0" w:end="0"/>
        <w:jc w:val="both"/>
        <w:rPr/>
      </w:pPr>
      <w:r>
        <w:rPr>
          <w:color w:val="FF00FF"/>
          <w:sz w:val="24"/>
        </w:rPr>
        <w:t xml:space="preserve">The market for daily gas options is quite active and constantly evolves. The options that require delivery of physical gas or electricity will be referred to as swing options (Enron uses internally the term Omicron options). Options with similar structures but cash settled use the price indices published by </w:t>
      </w:r>
      <w:r>
        <w:rPr>
          <w:i/>
          <w:color w:val="FF00FF"/>
          <w:sz w:val="24"/>
        </w:rPr>
        <w:t>Gas Daily</w:t>
      </w:r>
      <w:r>
        <w:rPr>
          <w:color w:val="FF00FF"/>
          <w:sz w:val="24"/>
        </w:rPr>
        <w:t>, an industry newsletter, as a reference price. Gas Daily prices are compiled on a regular basis from market participants through through a phone and fax survey.</w:t>
      </w:r>
    </w:p>
    <w:p>
      <w:pPr>
        <w:pStyle w:val="Normal"/>
        <w:numPr>
          <w:ilvl w:val="0"/>
          <w:numId w:val="0"/>
        </w:numPr>
        <w:ind w:hanging="0" w:start="0"/>
        <w:jc w:val="both"/>
        <w:rPr>
          <w:color w:val="FF00FF"/>
          <w:sz w:val="24"/>
        </w:rPr>
      </w:pPr>
      <w:r>
        <w:rPr>
          <w:color w:val="FF00FF"/>
          <w:sz w:val="24"/>
        </w:rPr>
      </w:r>
    </w:p>
    <w:p>
      <w:pPr>
        <w:pStyle w:val="Normal"/>
        <w:numPr>
          <w:ilvl w:val="0"/>
          <w:numId w:val="0"/>
        </w:numPr>
        <w:ind w:hanging="0" w:start="0"/>
        <w:jc w:val="both"/>
        <w:rPr>
          <w:sz w:val="24"/>
        </w:rPr>
      </w:pPr>
      <w:r>
        <w:rPr>
          <w:sz w:val="24"/>
        </w:rPr>
        <w:t xml:space="preserve"> </w:t>
      </w:r>
      <w:r>
        <w:rPr>
          <w:sz w:val="24"/>
        </w:rPr>
        <w:tab/>
        <w:t xml:space="preserve">The volume restrictions give these options the flavour of American options, combined with path dependence. The decision to exercise an option depends on past decisions, which determine the remaining available volume, and on the number of days to expiration. If the number of remaining days is large, it usually makes economic sense to defer exercise of the option as the price could move even higher. On the last day, it makes sense to use the full daily volume available if the option is in-the-money and the monthly maximum has not been reached. </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 xml:space="preserve">Exercise of these options presents a problem which is similar to deciding whether to call a bond. Interest rates could drop lower, increasing the benefits of retiring debt, but postponing the decision means the advantages of lower rates will accrue for a shorter period of time. Optimal timing will depend on the trade-off between the potential benefits of postponing the decision, and the shrinking time period over which they will be enjoyed. </w:t>
      </w:r>
      <w:r>
        <w:rPr>
          <w:color w:val="0000FF"/>
          <w:sz w:val="24"/>
        </w:rPr>
        <w:t>One possible approach to pricing such an option is an extension of the binomial tree with additional state variables (except in the case where the monthly constraint does not effectively limit the number of days of swing)</w:t>
      </w:r>
      <w:r>
        <w:rPr>
          <w:sz w:val="24"/>
        </w:rPr>
        <w:t xml:space="preserve">. </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b/>
          <w:color w:val="0000FF"/>
          <w:sz w:val="24"/>
        </w:rPr>
      </w:pPr>
      <w:r>
        <w:rPr>
          <w:b/>
          <w:color w:val="0000FF"/>
          <w:sz w:val="24"/>
        </w:rPr>
        <w:t>Take-or-Pay and Ratchet Options: Notation</w:t>
      </w:r>
    </w:p>
    <w:p>
      <w:pPr>
        <w:pStyle w:val="Normal"/>
        <w:numPr>
          <w:ilvl w:val="0"/>
          <w:numId w:val="0"/>
        </w:numPr>
        <w:ind w:hanging="0" w:start="0"/>
        <w:jc w:val="both"/>
        <w:rPr>
          <w:b/>
          <w:color w:val="0000FF"/>
          <w:sz w:val="24"/>
        </w:rPr>
      </w:pPr>
      <w:r>
        <w:rPr>
          <w:b/>
          <w:color w:val="0000FF"/>
          <w:sz w:val="24"/>
        </w:rPr>
      </w:r>
    </w:p>
    <w:p>
      <w:pPr>
        <w:pStyle w:val="Normal"/>
        <w:numPr>
          <w:ilvl w:val="0"/>
          <w:numId w:val="0"/>
        </w:numPr>
        <w:ind w:hanging="0" w:start="0"/>
        <w:jc w:val="both"/>
        <w:rPr/>
      </w:pPr>
      <w:r>
        <w:rPr>
          <w:color w:val="0000FF"/>
          <w:sz w:val="24"/>
        </w:rPr>
        <w:tab/>
        <w:t xml:space="preserve">In a take-or-pay call option, the buyer agrees to purchase between a minimum </w:t>
      </w:r>
      <w:r>
        <w:rPr>
          <w:i/>
          <w:color w:val="0000FF"/>
          <w:sz w:val="24"/>
        </w:rPr>
        <w:t>v</w:t>
      </w:r>
      <w:r>
        <w:rPr>
          <w:color w:val="0000FF"/>
          <w:sz w:val="24"/>
        </w:rPr>
        <w:t xml:space="preserve"> and a maximum </w:t>
      </w:r>
      <w:r>
        <w:rPr>
          <w:i/>
          <w:color w:val="0000FF"/>
          <w:sz w:val="24"/>
        </w:rPr>
        <w:t>V</w:t>
      </w:r>
      <w:r>
        <w:rPr>
          <w:color w:val="0000FF"/>
          <w:sz w:val="24"/>
        </w:rPr>
        <w:t xml:space="preserve"> units of natural gas every day for the length of the contract, say, </w:t>
      </w:r>
      <w:r>
        <w:rPr>
          <w:i/>
          <w:color w:val="0000FF"/>
          <w:sz w:val="24"/>
        </w:rPr>
        <w:t>N</w:t>
      </w:r>
      <w:r>
        <w:rPr>
          <w:color w:val="0000FF"/>
          <w:sz w:val="24"/>
        </w:rPr>
        <w:t xml:space="preserve"> days. The purchase (strike) price for the commodity is fixed at $</w:t>
      </w:r>
      <w:r>
        <w:rPr>
          <w:i/>
          <w:color w:val="0000FF"/>
          <w:sz w:val="24"/>
        </w:rPr>
        <w:t>K</w:t>
      </w:r>
      <w:r>
        <w:rPr>
          <w:color w:val="0000FF"/>
          <w:sz w:val="24"/>
        </w:rPr>
        <w:t xml:space="preserve">/unit. Typically the contract length is one month. The total volume for the contract period has a minimum </w:t>
      </w:r>
      <w:r>
        <w:rPr>
          <w:color w:val="0000FF"/>
        </w:rPr>
      </w:r>
      <m:oMath xmlns:m="http://schemas.openxmlformats.org/officeDocument/2006/math">
        <m:sSub>
          <m:e>
            <m:r>
              <m:t xml:space="preserve">V</m:t>
            </m:r>
          </m:e>
          <m:sub>
            <m:r>
              <m:rPr>
                <m:lit/>
                <m:nor/>
              </m:rPr>
              <m:t xml:space="preserve">min</m:t>
            </m:r>
          </m:sub>
        </m:sSub>
      </m:oMath>
      <w:r>
        <w:rPr>
          <w:color w:val="0000FF"/>
          <w:sz w:val="24"/>
        </w:rPr>
        <w:t xml:space="preserve"> and a maximum </w:t>
      </w:r>
      <w:r>
        <w:rPr>
          <w:color w:val="0000FF"/>
        </w:rPr>
      </w:r>
      <m:oMath xmlns:m="http://schemas.openxmlformats.org/officeDocument/2006/math">
        <m:sSub>
          <m:e>
            <m:r>
              <m:t xml:space="preserve">V</m:t>
            </m:r>
          </m:e>
          <m:sub>
            <m:r>
              <m:rPr>
                <m:lit/>
                <m:nor/>
              </m:rPr>
              <m:t xml:space="preserve">max</m:t>
            </m:r>
          </m:sub>
        </m:sSub>
      </m:oMath>
      <w:r>
        <w:rPr>
          <w:color w:val="0000FF"/>
          <w:sz w:val="24"/>
        </w:rPr>
        <w:t xml:space="preserve">. Also, if the total volume falls below the required minimum, the buyer has to pay a fine of </w:t>
      </w:r>
      <w:r>
        <w:rPr>
          <w:i/>
          <w:color w:val="0000FF"/>
          <w:sz w:val="24"/>
        </w:rPr>
        <w:t>c</w:t>
      </w:r>
      <w:r>
        <w:rPr>
          <w:color w:val="0000FF"/>
          <w:sz w:val="24"/>
        </w:rPr>
        <w:t>$ per unit on the volume shortfall.</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b/>
          <w:color w:val="0000FF"/>
          <w:sz w:val="24"/>
        </w:rPr>
        <w:tab/>
      </w:r>
      <w:r>
        <w:rPr>
          <w:color w:val="0000FF"/>
          <w:sz w:val="24"/>
        </w:rPr>
        <w:t xml:space="preserve">A swing ratchet option is typically a monthly, seasonal or annual option with the daily volume being above </w:t>
      </w:r>
      <w:r>
        <w:rPr>
          <w:i/>
          <w:color w:val="0000FF"/>
          <w:sz w:val="24"/>
        </w:rPr>
        <w:t>v</w:t>
      </w:r>
      <w:r>
        <w:rPr>
          <w:color w:val="0000FF"/>
          <w:sz w:val="24"/>
        </w:rPr>
        <w:t xml:space="preserve"> and below </w:t>
      </w:r>
      <w:r>
        <w:rPr>
          <w:i/>
          <w:color w:val="0000FF"/>
          <w:sz w:val="24"/>
        </w:rPr>
        <w:t>V</w:t>
      </w:r>
      <w:r>
        <w:rPr>
          <w:color w:val="0000FF"/>
          <w:sz w:val="24"/>
        </w:rPr>
        <w:t xml:space="preserve"> units and the commodity (strike) price fixed at, say, $</w:t>
      </w:r>
      <w:r>
        <w:rPr>
          <w:i/>
          <w:color w:val="0000FF"/>
          <w:sz w:val="24"/>
        </w:rPr>
        <w:t>K</w:t>
      </w:r>
      <w:r>
        <w:rPr>
          <w:color w:val="0000FF"/>
          <w:sz w:val="24"/>
        </w:rPr>
        <w:t>/unit. The daily volume can be increased (</w:t>
      </w:r>
      <w:r>
        <w:rPr>
          <w:i/>
          <w:color w:val="0000FF"/>
          <w:sz w:val="24"/>
        </w:rPr>
        <w:t>swing up</w:t>
      </w:r>
      <w:r>
        <w:rPr>
          <w:color w:val="0000FF"/>
          <w:sz w:val="24"/>
        </w:rPr>
        <w:t>) or decreased (</w:t>
      </w:r>
      <w:r>
        <w:rPr>
          <w:i/>
          <w:color w:val="0000FF"/>
          <w:sz w:val="24"/>
        </w:rPr>
        <w:t>swing down</w:t>
      </w:r>
      <w:r>
        <w:rPr>
          <w:color w:val="0000FF"/>
          <w:sz w:val="24"/>
        </w:rPr>
        <w:t xml:space="preserve">) by a constant amount </w:t>
      </w:r>
      <w:r>
        <w:rPr>
          <w:i/>
          <w:color w:val="0000FF"/>
          <w:sz w:val="24"/>
        </w:rPr>
        <w:t>w</w:t>
      </w:r>
      <w:r>
        <w:rPr>
          <w:color w:val="0000FF"/>
          <w:sz w:val="24"/>
        </w:rPr>
        <w:t xml:space="preserve"> only. Thus the volume purchased on any day falls into one of the volume </w:t>
      </w:r>
      <w:r>
        <w:rPr>
          <w:i/>
          <w:color w:val="0000FF"/>
          <w:sz w:val="24"/>
        </w:rPr>
        <w:t>ratchets</w:t>
      </w:r>
      <w:r>
        <w:rPr>
          <w:color w:val="0000FF"/>
          <w:sz w:val="24"/>
        </w:rPr>
        <w:t xml:space="preserve">, namely, </w:t>
      </w:r>
      <w:r>
        <w:rPr>
          <w:color w:val="0000FF"/>
        </w:rPr>
        <w:object w:dxaOrig="1300" w:dyaOrig="24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65pt;height:12pt" filled="f" o:ole="">
            <v:imagedata r:id="rId25" o:title=""/>
          </v:shape>
          <o:OLEObject Type="Embed" ProgID="" ShapeID="ole_rId24" DrawAspect="Content" ObjectID="_1900543364" r:id="rId24"/>
        </w:object>
      </w:r>
      <w:r>
        <w:rPr>
          <w:color w:val="0000FF"/>
          <w:sz w:val="24"/>
        </w:rPr>
        <w:t xml:space="preserve">. The number of swings (i.e., daily volume changes) is limited to a maximum of </w:t>
      </w:r>
      <w:r>
        <w:rPr>
          <w:i/>
          <w:color w:val="0000FF"/>
          <w:sz w:val="24"/>
        </w:rPr>
        <w:t>K</w:t>
      </w:r>
      <w:r>
        <w:rPr>
          <w:color w:val="0000FF"/>
          <w:sz w:val="24"/>
        </w:rPr>
        <w:t>. A swing ratchet put option is defined similarly.</w:t>
      </w:r>
    </w:p>
    <w:p>
      <w:pPr>
        <w:pStyle w:val="Normal"/>
        <w:numPr>
          <w:ilvl w:val="0"/>
          <w:numId w:val="0"/>
        </w:numPr>
        <w:ind w:hanging="0" w:start="0"/>
        <w:jc w:val="both"/>
        <w:rPr>
          <w:color w:val="0000FF"/>
          <w:sz w:val="24"/>
        </w:rPr>
      </w:pPr>
      <w:r>
        <w:rPr>
          <w:color w:val="0000FF"/>
          <w:sz w:val="24"/>
        </w:rPr>
      </w:r>
    </w:p>
    <w:p>
      <w:pPr>
        <w:pStyle w:val="Heading4"/>
        <w:numPr>
          <w:ilvl w:val="0"/>
          <w:numId w:val="0"/>
        </w:numPr>
        <w:ind w:hanging="0" w:start="0"/>
        <w:rPr/>
      </w:pPr>
      <w:r>
        <w:rPr/>
        <w:t>Valuation</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color w:val="0000FF"/>
          <w:sz w:val="24"/>
        </w:rPr>
        <w:tab/>
        <w:t xml:space="preserve">In this section, we develop a procedure for valuing swing options by extending the lattice binomial tree approach. The binomial tree is extended to a connected set of binomial trees, for </w:t>
      </w:r>
      <w:r>
        <w:rPr>
          <w:color w:val="FF00FF"/>
          <w:sz w:val="24"/>
        </w:rPr>
        <w:t>which we have coined at Enron the term “</w:t>
      </w:r>
      <w:r>
        <w:rPr>
          <w:i/>
          <w:color w:val="FF00FF"/>
          <w:sz w:val="24"/>
        </w:rPr>
        <w:t>binomial forest</w:t>
      </w:r>
      <w:r>
        <w:rPr>
          <w:color w:val="0000FF"/>
          <w:sz w:val="24"/>
        </w:rPr>
        <w:t>”. Thompson (1995) and Jaillet et. al. (1997) consider similar approaches to price swing options. This method is also reviewed by Pilipovic and Wengler (1998). Barbieri and Garman (1996 &amp; 1997) also discuss pricing and hedging issues for swing options.</w:t>
      </w:r>
    </w:p>
    <w:p>
      <w:pPr>
        <w:pStyle w:val="Normal"/>
        <w:numPr>
          <w:ilvl w:val="0"/>
          <w:numId w:val="0"/>
        </w:numPr>
        <w:ind w:hanging="0" w:start="0"/>
        <w:jc w:val="both"/>
        <w:rPr>
          <w:color w:val="0000FF"/>
          <w:sz w:val="24"/>
        </w:rPr>
      </w:pPr>
      <w:r>
        <w:rPr>
          <w:color w:val="0000FF"/>
          <w:sz w:val="24"/>
        </w:rPr>
      </w:r>
    </w:p>
    <w:p>
      <w:pPr>
        <w:pStyle w:val="Normal"/>
        <w:numPr>
          <w:ilvl w:val="0"/>
          <w:numId w:val="0"/>
        </w:numPr>
        <w:ind w:firstLine="720" w:start="0" w:end="0"/>
        <w:jc w:val="both"/>
        <w:rPr/>
      </w:pPr>
      <w:r>
        <w:rPr>
          <w:color w:val="0000FF"/>
          <w:sz w:val="24"/>
        </w:rPr>
        <w:t xml:space="preserve">We assume here that the commodity price follows a geometric Brownian motion process and approximate the price evolution by a binomial tree. Under a swing ratchet option, the buyer agrees to purchase this commodity for a period of  </w:t>
      </w:r>
      <w:r>
        <w:rPr>
          <w:i/>
          <w:color w:val="0000FF"/>
          <w:sz w:val="24"/>
        </w:rPr>
        <w:t>N</w:t>
      </w:r>
      <w:r>
        <w:rPr>
          <w:color w:val="0000FF"/>
          <w:sz w:val="24"/>
        </w:rPr>
        <w:t xml:space="preserve"> days. Since we assume that the option on volume is exercised to maximize return using the market prices of gas over the month, it follows that, the buyer will take either the minimum or the maximum volume of gas allowed on any given day (unless the minimum or maximum restriction on the total volume requires purchase of gas above the daily minimum and below the daily maximum). Using this fact, we derive recursion equations for valuing swing options. Following the notation developed in the earlier section on binomial trees, assume that the option period of </w:t>
      </w:r>
      <w:r>
        <w:rPr>
          <w:i/>
          <w:color w:val="0000FF"/>
          <w:sz w:val="24"/>
        </w:rPr>
        <w:t>N</w:t>
      </w:r>
      <w:r>
        <w:rPr>
          <w:color w:val="0000FF"/>
          <w:sz w:val="24"/>
        </w:rPr>
        <w:t xml:space="preserve"> days is divided into </w:t>
      </w:r>
      <w:r>
        <w:rPr>
          <w:i/>
          <w:color w:val="0000FF"/>
          <w:sz w:val="24"/>
        </w:rPr>
        <w:t>N</w:t>
      </w:r>
      <w:r>
        <w:rPr>
          <w:color w:val="0000FF"/>
          <w:sz w:val="24"/>
        </w:rPr>
        <w:t xml:space="preserve"> time steps so that each time step corresponds to one day. This choice of time interval greatly simplifies notation and provides sufficient accuracy for the option values we compute. Accuracy can be improved, if necessary, by considering time intervals of shorter length and modifying the recursion formulae appropriately. </w:t>
      </w:r>
    </w:p>
    <w:p>
      <w:pPr>
        <w:pStyle w:val="Normal"/>
        <w:numPr>
          <w:ilvl w:val="0"/>
          <w:numId w:val="0"/>
        </w:numPr>
        <w:ind w:firstLine="720" w:start="0" w:end="0"/>
        <w:jc w:val="both"/>
        <w:rPr>
          <w:color w:val="0000FF"/>
          <w:sz w:val="24"/>
        </w:rPr>
      </w:pPr>
      <w:r>
        <w:rPr>
          <w:color w:val="0000FF"/>
          <w:sz w:val="24"/>
        </w:rPr>
      </w:r>
    </w:p>
    <w:p>
      <w:pPr>
        <w:pStyle w:val="Normal"/>
        <w:numPr>
          <w:ilvl w:val="0"/>
          <w:numId w:val="0"/>
        </w:numPr>
        <w:ind w:firstLine="720" w:start="0" w:end="0"/>
        <w:jc w:val="both"/>
        <w:rPr/>
      </w:pPr>
      <w:r>
        <w:rPr>
          <w:color w:val="0000FF"/>
          <w:sz w:val="24"/>
        </w:rPr>
        <w:t xml:space="preserve">We are using below the standard notation used in the discussion of algorithms based on binomial trees. In a simple tree, the forward price during each time period is assumed to make a single move, either up or down. The price is assumed to move up by a multiplicative factor of </w:t>
      </w:r>
      <w:r>
        <w:rPr>
          <w:i/>
          <w:color w:val="0000FF"/>
          <w:sz w:val="24"/>
        </w:rPr>
        <w:t>u</w:t>
      </w:r>
      <w:r>
        <w:rPr>
          <w:color w:val="0000FF"/>
          <w:sz w:val="24"/>
        </w:rPr>
        <w:t xml:space="preserve"> with a probability </w:t>
      </w:r>
      <w:r>
        <w:rPr>
          <w:i/>
          <w:color w:val="0000FF"/>
          <w:sz w:val="24"/>
        </w:rPr>
        <w:t>p</w:t>
      </w:r>
      <w:r>
        <w:rPr>
          <w:color w:val="0000FF"/>
          <w:sz w:val="24"/>
        </w:rPr>
        <w:t xml:space="preserve"> and move down by a multiplicative factor of </w:t>
      </w:r>
      <w:r>
        <w:rPr>
          <w:i/>
          <w:color w:val="0000FF"/>
          <w:sz w:val="24"/>
        </w:rPr>
        <w:t>d</w:t>
      </w:r>
      <w:r>
        <w:rPr>
          <w:color w:val="0000FF"/>
          <w:sz w:val="24"/>
        </w:rPr>
        <w:t xml:space="preserve"> of with a probability </w:t>
      </w:r>
      <w:r>
        <w:rPr>
          <w:color w:val="0000FF"/>
        </w:rPr>
        <w:object w:dxaOrig="860" w:dyaOrig="2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3pt;height:13pt" filled="f" o:ole="">
            <v:imagedata r:id="rId27" o:title=""/>
          </v:shape>
          <o:OLEObject Type="Embed" ProgID="" ShapeID="ole_rId26" DrawAspect="Content" ObjectID="_609092319" r:id="rId26"/>
        </w:object>
      </w:r>
      <w:r>
        <w:rPr>
          <w:color w:val="0000FF"/>
          <w:sz w:val="24"/>
        </w:rPr>
        <w:t xml:space="preserve">. It is typically assumed that d=1/u. We identify a node in the tree by an ordered pair </w:t>
      </w:r>
      <w:r>
        <w:rPr>
          <w:color w:val="0000FF"/>
        </w:rPr>
        <w:object w:dxaOrig="500" w:dyaOrig="2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5pt;height:13pt" filled="f" o:ole="">
            <v:imagedata r:id="rId29" o:title=""/>
          </v:shape>
          <o:OLEObject Type="Embed" ProgID="" ShapeID="ole_rId28" DrawAspect="Content" ObjectID="_1129754899" r:id="rId28"/>
        </w:object>
      </w:r>
      <w:r>
        <w:rPr>
          <w:color w:val="0000FF"/>
          <w:sz w:val="24"/>
        </w:rPr>
        <w:t xml:space="preserve">, where </w:t>
      </w:r>
      <w:r>
        <w:rPr>
          <w:i/>
          <w:color w:val="0000FF"/>
          <w:sz w:val="24"/>
        </w:rPr>
        <w:t>i</w:t>
      </w:r>
      <w:r>
        <w:rPr>
          <w:color w:val="0000FF"/>
          <w:sz w:val="24"/>
        </w:rPr>
        <w:t xml:space="preserve"> stands for the number of time steps elapsed, and</w:t>
      </w:r>
      <w:r>
        <w:rPr>
          <w:i/>
          <w:color w:val="0000FF"/>
          <w:sz w:val="24"/>
        </w:rPr>
        <w:t xml:space="preserve"> j</w:t>
      </w:r>
      <w:r>
        <w:rPr>
          <w:color w:val="0000FF"/>
          <w:sz w:val="24"/>
        </w:rPr>
        <w:t xml:space="preserve"> stands for the level of the price. The forward price at the node </w:t>
      </w:r>
      <w:r>
        <w:rPr>
          <w:color w:val="0000FF"/>
        </w:rPr>
        <w:object w:dxaOrig="500" w:dyaOrig="2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5pt;height:13pt" filled="f" o:ole="">
            <v:imagedata r:id="rId31" o:title=""/>
          </v:shape>
          <o:OLEObject Type="Embed" ProgID="" ShapeID="ole_rId30" DrawAspect="Content" ObjectID="_1824294482" r:id="rId30"/>
        </w:object>
      </w:r>
      <w:r>
        <w:rPr>
          <w:color w:val="0000FF"/>
          <w:sz w:val="24"/>
        </w:rPr>
        <w:t xml:space="preserve"> is </w:t>
      </w:r>
      <w:r>
        <w:rPr>
          <w:color w:val="0000FF"/>
        </w:rPr>
      </w:r>
      <m:oMath xmlns:m="http://schemas.openxmlformats.org/officeDocument/2006/math">
        <m:sSup>
          <m:e>
            <m:r>
              <m:rPr>
                <m:lit/>
                <m:nor/>
              </m:rPr>
              <m:t xml:space="preserve">Fu</m:t>
            </m:r>
          </m:e>
          <m:sup>
            <m:r>
              <m:t xml:space="preserve">j</m:t>
            </m:r>
          </m:sup>
        </m:sSup>
        <m:sSup>
          <m:e>
            <m:r>
              <m:t xml:space="preserve">d</m:t>
            </m:r>
          </m:e>
          <m:sup>
            <m:r>
              <m:t xml:space="preserve">i</m:t>
            </m:r>
            <m:r>
              <m:t xml:space="preserve">−</m:t>
            </m:r>
            <m:r>
              <m:t xml:space="preserve">j</m:t>
            </m:r>
          </m:sup>
        </m:sSup>
      </m:oMath>
      <w:r>
        <w:rPr>
          <w:color w:val="0000FF"/>
          <w:sz w:val="24"/>
        </w:rPr>
        <w:t xml:space="preserve">, where F is the initial price corresponding to the node </w:t>
      </w:r>
      <w:r>
        <w:rPr>
          <w:color w:val="0000FF"/>
        </w:rPr>
        <w:object w:dxaOrig="520" w:dyaOrig="2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6pt;height:13pt" filled="f" o:ole="">
            <v:imagedata r:id="rId33" o:title=""/>
          </v:shape>
          <o:OLEObject Type="Embed" ProgID="" ShapeID="ole_rId32" DrawAspect="Content" ObjectID="_826758853" r:id="rId32"/>
        </w:object>
      </w:r>
      <w:r>
        <w:rPr>
          <w:color w:val="0000FF"/>
          <w:sz w:val="24"/>
        </w:rPr>
        <w:t xml:space="preserve">.  The discount factor corresponding to the chosen time step is denoted by </w:t>
      </w:r>
      <w:r>
        <w:rPr>
          <w:rFonts w:eastAsia="Symbol" w:cs="Symbol" w:ascii="Symbol" w:hAnsi="Symbol"/>
          <w:color w:val="0000FF"/>
          <w:sz w:val="24"/>
        </w:rPr>
        <w:sym w:font="Symbol" w:char="f061"/>
      </w:r>
      <w:r>
        <w:rPr>
          <w:color w:val="0000FF"/>
          <w:sz w:val="24"/>
        </w:rPr>
        <w:t>. Pricing of swing options requires construction of more complicated trees, and additional notation will be introduced below.</w:t>
      </w:r>
    </w:p>
    <w:p>
      <w:pPr>
        <w:pStyle w:val="Normal"/>
        <w:numPr>
          <w:ilvl w:val="0"/>
          <w:numId w:val="0"/>
        </w:numPr>
        <w:ind w:firstLine="720" w:start="0" w:end="0"/>
        <w:jc w:val="both"/>
        <w:rPr>
          <w:color w:val="0000FF"/>
          <w:sz w:val="24"/>
        </w:rPr>
      </w:pPr>
      <w:r>
        <w:rPr>
          <w:color w:val="0000FF"/>
          <w:sz w:val="24"/>
        </w:rPr>
      </w:r>
    </w:p>
    <w:p>
      <w:pPr>
        <w:pStyle w:val="Normal"/>
        <w:numPr>
          <w:ilvl w:val="0"/>
          <w:numId w:val="0"/>
        </w:numPr>
        <w:ind w:hanging="0" w:start="0"/>
        <w:jc w:val="both"/>
        <w:rPr>
          <w:b/>
          <w:color w:val="0000FF"/>
          <w:sz w:val="24"/>
        </w:rPr>
      </w:pPr>
      <w:r>
        <w:rPr>
          <w:b/>
          <w:color w:val="0000FF"/>
          <w:sz w:val="24"/>
        </w:rPr>
        <w:t>Valuation:  Take-or-Pay Options</w:t>
      </w:r>
    </w:p>
    <w:p>
      <w:pPr>
        <w:pStyle w:val="Normal"/>
        <w:numPr>
          <w:ilvl w:val="0"/>
          <w:numId w:val="0"/>
        </w:numPr>
        <w:ind w:hanging="0" w:start="0"/>
        <w:jc w:val="both"/>
        <w:rPr>
          <w:b/>
          <w:color w:val="0000FF"/>
          <w:sz w:val="24"/>
        </w:rPr>
      </w:pPr>
      <w:r>
        <w:rPr>
          <w:b/>
          <w:color w:val="0000FF"/>
          <w:sz w:val="24"/>
        </w:rPr>
      </w:r>
    </w:p>
    <w:p>
      <w:pPr>
        <w:pStyle w:val="Normal"/>
        <w:numPr>
          <w:ilvl w:val="0"/>
          <w:numId w:val="0"/>
        </w:numPr>
        <w:ind w:hanging="0" w:start="0"/>
        <w:jc w:val="both"/>
        <w:rPr/>
      </w:pPr>
      <w:r>
        <w:rPr>
          <w:color w:val="0000FF"/>
          <w:sz w:val="24"/>
        </w:rPr>
        <w:tab/>
        <w:t xml:space="preserve">For this option, the daily purchase volumes are limited by a minimum quantity </w:t>
      </w:r>
      <w:r>
        <w:rPr>
          <w:i/>
          <w:color w:val="0000FF"/>
          <w:sz w:val="24"/>
        </w:rPr>
        <w:t>v</w:t>
      </w:r>
      <w:r>
        <w:rPr>
          <w:color w:val="0000FF"/>
          <w:sz w:val="24"/>
        </w:rPr>
        <w:t xml:space="preserve"> and a maximum quantity </w:t>
      </w:r>
      <w:r>
        <w:rPr>
          <w:i/>
          <w:color w:val="0000FF"/>
          <w:sz w:val="24"/>
        </w:rPr>
        <w:t>V</w:t>
      </w:r>
      <w:r>
        <w:rPr>
          <w:color w:val="0000FF"/>
          <w:sz w:val="24"/>
        </w:rPr>
        <w:t xml:space="preserve">. Also, the total volume for the contract period has a minimum of </w:t>
      </w:r>
      <w:r>
        <w:rPr>
          <w:color w:val="0000FF"/>
        </w:rPr>
      </w:r>
      <m:oMath xmlns:m="http://schemas.openxmlformats.org/officeDocument/2006/math">
        <m:sSub>
          <m:e>
            <m:r>
              <m:t xml:space="preserve">V</m:t>
            </m:r>
          </m:e>
          <m:sub>
            <m:r>
              <m:rPr>
                <m:lit/>
                <m:nor/>
              </m:rPr>
              <m:t xml:space="preserve">min</m:t>
            </m:r>
          </m:sub>
        </m:sSub>
      </m:oMath>
      <w:r>
        <w:rPr>
          <w:color w:val="0000FF"/>
          <w:sz w:val="24"/>
        </w:rPr>
        <w:t xml:space="preserve"> and a maximum of </w:t>
      </w:r>
      <w:r>
        <w:rPr>
          <w:color w:val="0000FF"/>
        </w:rPr>
      </w:r>
      <m:oMath xmlns:m="http://schemas.openxmlformats.org/officeDocument/2006/math">
        <m:sSub>
          <m:e>
            <m:r>
              <m:t xml:space="preserve">V</m:t>
            </m:r>
          </m:e>
          <m:sub>
            <m:r>
              <m:rPr>
                <m:lit/>
                <m:nor/>
              </m:rPr>
              <m:t xml:space="preserve">max</m:t>
            </m:r>
          </m:sub>
        </m:sSub>
      </m:oMath>
      <w:r>
        <w:rPr>
          <w:color w:val="0000FF"/>
          <w:sz w:val="24"/>
        </w:rPr>
        <w:t xml:space="preserve">. The minimum total volume can be achieved by purchasing the maximum daily quantity for </w:t>
      </w:r>
      <w:r>
        <w:rPr>
          <w:color w:val="0000FF"/>
        </w:rPr>
      </w:r>
      <m:oMath xmlns:m="http://schemas.openxmlformats.org/officeDocument/2006/math">
        <m:sSub>
          <m:e>
            <m:r>
              <m:t xml:space="preserve">M</m:t>
            </m:r>
          </m:e>
          <m:sub>
            <m:r>
              <m:rPr>
                <m:lit/>
                <m:nor/>
              </m:rPr>
              <m:t xml:space="preserve">min</m:t>
            </m:r>
          </m:sub>
        </m:sSub>
      </m:oMath>
      <w:r>
        <w:rPr>
          <w:color w:val="0000FF"/>
          <w:sz w:val="24"/>
        </w:rPr>
        <w:t xml:space="preserve"> days and the minimum daily quantity for the rest of the days, i.e, we compute </w:t>
      </w:r>
      <w:r>
        <w:rPr>
          <w:color w:val="0000FF"/>
        </w:rPr>
      </w:r>
      <m:oMath xmlns:m="http://schemas.openxmlformats.org/officeDocument/2006/math">
        <m:sSub>
          <m:e>
            <m:r>
              <m:t xml:space="preserve">M</m:t>
            </m:r>
          </m:e>
          <m:sub>
            <m:r>
              <m:rPr>
                <m:lit/>
                <m:nor/>
              </m:rPr>
              <m:t xml:space="preserve">min</m:t>
            </m:r>
          </m:sub>
        </m:sSub>
      </m:oMath>
      <w:r>
        <w:rPr>
          <w:color w:val="0000FF"/>
          <w:sz w:val="24"/>
        </w:rPr>
        <w:t xml:space="preserve"> from </w:t>
      </w:r>
      <w:r>
        <w:rPr>
          <w:color w:val="0000FF"/>
        </w:rPr>
      </w:r>
      <m:oMath xmlns:m="http://schemas.openxmlformats.org/officeDocument/2006/math">
        <m:sSub>
          <m:e>
            <m:r>
              <m:t xml:space="preserve">V</m:t>
            </m:r>
          </m:e>
          <m:sub>
            <m:r>
              <m:rPr>
                <m:lit/>
                <m:nor/>
              </m:rPr>
              <m:t xml:space="preserve">min</m:t>
            </m:r>
          </m:sub>
        </m:sSub>
        <m:r>
          <m:t xml:space="preserve">=</m:t>
        </m:r>
      </m:oMath>
      <w:r>
        <w:rPr>
          <w:color w:val="0000FF"/>
        </w:rPr>
      </w:r>
      <m:oMath xmlns:m="http://schemas.openxmlformats.org/officeDocument/2006/math">
        <m:sSub>
          <m:e>
            <m:r>
              <m:t xml:space="preserve">M</m:t>
            </m:r>
          </m:e>
          <m:sub>
            <m:r>
              <m:rPr>
                <m:lit/>
                <m:nor/>
              </m:rPr>
              <m:t xml:space="preserve">min</m:t>
            </m:r>
          </m:sub>
        </m:sSub>
        <m:r>
          <m:t xml:space="preserve">V</m:t>
        </m:r>
        <m:r>
          <m:t xml:space="preserve">+</m:t>
        </m:r>
        <m:d>
          <m:dPr>
            <m:begChr m:val="("/>
            <m:endChr m:val=")"/>
          </m:dPr>
          <m:e>
            <m:r>
              <m:t xml:space="preserve">N</m:t>
            </m:r>
            <m:r>
              <m:t xml:space="preserve">−</m:t>
            </m:r>
            <m:sSub>
              <m:e>
                <m:r>
                  <m:t xml:space="preserve">M</m:t>
                </m:r>
              </m:e>
              <m:sub>
                <m:r>
                  <m:rPr>
                    <m:lit/>
                    <m:nor/>
                  </m:rPr>
                  <m:t xml:space="preserve">min</m:t>
                </m:r>
              </m:sub>
            </m:sSub>
          </m:e>
        </m:d>
        <m:r>
          <m:t xml:space="preserve">v</m:t>
        </m:r>
        <m:r>
          <m:t xml:space="preserve">=</m:t>
        </m:r>
      </m:oMath>
      <w:r>
        <w:rPr>
          <w:color w:val="0000FF"/>
          <w:sz w:val="24"/>
        </w:rPr>
        <w:t xml:space="preserve"> </w:t>
      </w:r>
      <w:r>
        <w:rPr>
          <w:color w:val="0000FF"/>
        </w:rPr>
      </w:r>
      <m:oMath xmlns:m="http://schemas.openxmlformats.org/officeDocument/2006/math">
        <m:r>
          <m:rPr>
            <m:lit/>
            <m:nor/>
          </m:rPr>
          <m:t xml:space="preserve">Nv</m:t>
        </m:r>
        <m:r>
          <m:t xml:space="preserve">+</m:t>
        </m:r>
        <m:sSub>
          <m:e>
            <m:r>
              <m:t xml:space="preserve">M</m:t>
            </m:r>
          </m:e>
          <m:sub>
            <m:r>
              <m:rPr>
                <m:lit/>
                <m:nor/>
              </m:rPr>
              <m:t xml:space="preserve">min</m:t>
            </m:r>
          </m:sub>
        </m:sSub>
        <m:r>
          <m:t xml:space="preserve">(</m:t>
        </m:r>
        <m:r>
          <m:t xml:space="preserve">V</m:t>
        </m:r>
        <m:r>
          <m:t xml:space="preserve">−</m:t>
        </m:r>
        <m:r>
          <m:t xml:space="preserve">v</m:t>
        </m:r>
        <m:r>
          <m:t xml:space="preserve">)</m:t>
        </m:r>
      </m:oMath>
      <w:r>
        <w:rPr>
          <w:color w:val="0000FF"/>
          <w:sz w:val="24"/>
        </w:rPr>
        <w:t xml:space="preserve"> where </w:t>
      </w:r>
      <w:r>
        <w:rPr>
          <w:i/>
          <w:color w:val="0000FF"/>
          <w:sz w:val="24"/>
        </w:rPr>
        <w:t>N</w:t>
      </w:r>
      <w:r>
        <w:rPr>
          <w:color w:val="0000FF"/>
          <w:sz w:val="24"/>
        </w:rPr>
        <w:t xml:space="preserve"> is the option life in days. Similarly the maximum total volume </w:t>
      </w:r>
      <w:r>
        <w:rPr>
          <w:color w:val="0000FF"/>
        </w:rPr>
      </w:r>
      <m:oMath xmlns:m="http://schemas.openxmlformats.org/officeDocument/2006/math">
        <m:sSub>
          <m:e>
            <m:r>
              <m:t xml:space="preserve">V</m:t>
            </m:r>
          </m:e>
          <m:sub>
            <m:r>
              <m:rPr>
                <m:lit/>
                <m:nor/>
              </m:rPr>
              <m:t xml:space="preserve">max</m:t>
            </m:r>
          </m:sub>
        </m:sSub>
      </m:oMath>
      <w:r>
        <w:rPr>
          <w:color w:val="0000FF"/>
          <w:sz w:val="24"/>
        </w:rPr>
        <w:t xml:space="preserve"> can be achieved by taking the maximum daily quantity for </w:t>
      </w:r>
      <w:r>
        <w:rPr>
          <w:color w:val="0000FF"/>
        </w:rPr>
      </w:r>
      <m:oMath xmlns:m="http://schemas.openxmlformats.org/officeDocument/2006/math">
        <m:sSub>
          <m:e>
            <m:r>
              <m:t xml:space="preserve">M</m:t>
            </m:r>
          </m:e>
          <m:sub>
            <m:r>
              <m:rPr>
                <m:lit/>
                <m:nor/>
              </m:rPr>
              <m:t xml:space="preserve">max</m:t>
            </m:r>
          </m:sub>
        </m:sSub>
      </m:oMath>
      <w:r>
        <w:rPr>
          <w:color w:val="0000FF"/>
          <w:sz w:val="24"/>
        </w:rPr>
        <w:t xml:space="preserve"> days and the minimum daily quantity for the rest of the days, i.e., </w:t>
      </w:r>
      <w:r>
        <w:rPr>
          <w:color w:val="0000FF"/>
        </w:rPr>
      </w:r>
      <m:oMath xmlns:m="http://schemas.openxmlformats.org/officeDocument/2006/math">
        <m:sSub>
          <m:e>
            <m:r>
              <m:t xml:space="preserve">V</m:t>
            </m:r>
          </m:e>
          <m:sub>
            <m:r>
              <m:rPr>
                <m:lit/>
                <m:nor/>
              </m:rPr>
              <m:t xml:space="preserve">max</m:t>
            </m:r>
          </m:sub>
        </m:sSub>
        <m:r>
          <m:t xml:space="preserve">=</m:t>
        </m:r>
      </m:oMath>
      <w:r>
        <w:rPr>
          <w:color w:val="0000FF"/>
        </w:rPr>
      </w:r>
      <m:oMath xmlns:m="http://schemas.openxmlformats.org/officeDocument/2006/math">
        <m:sSub>
          <m:e>
            <m:r>
              <m:t xml:space="preserve">M</m:t>
            </m:r>
          </m:e>
          <m:sub>
            <m:r>
              <m:rPr>
                <m:lit/>
                <m:nor/>
              </m:rPr>
              <m:t xml:space="preserve">max</m:t>
            </m:r>
          </m:sub>
        </m:sSub>
        <m:r>
          <m:t xml:space="preserve">V</m:t>
        </m:r>
        <m:r>
          <m:t xml:space="preserve">+</m:t>
        </m:r>
        <m:d>
          <m:dPr>
            <m:begChr m:val="("/>
            <m:endChr m:val=")"/>
          </m:dPr>
          <m:e>
            <m:r>
              <m:t xml:space="preserve">N</m:t>
            </m:r>
            <m:r>
              <m:t xml:space="preserve">−</m:t>
            </m:r>
            <m:sSub>
              <m:e>
                <m:r>
                  <m:t xml:space="preserve">M</m:t>
                </m:r>
              </m:e>
              <m:sub>
                <m:r>
                  <m:rPr>
                    <m:lit/>
                    <m:nor/>
                  </m:rPr>
                  <m:t xml:space="preserve">max</m:t>
                </m:r>
              </m:sub>
            </m:sSub>
          </m:e>
        </m:d>
        <m:r>
          <m:t xml:space="preserve">v</m:t>
        </m:r>
        <m:r>
          <m:t xml:space="preserve">=</m:t>
        </m:r>
      </m:oMath>
      <w:r>
        <w:rPr>
          <w:color w:val="0000FF"/>
          <w:sz w:val="24"/>
        </w:rPr>
        <w:t xml:space="preserve"> </w:t>
      </w:r>
      <w:r>
        <w:rPr>
          <w:color w:val="0000FF"/>
        </w:rPr>
      </w:r>
      <m:oMath xmlns:m="http://schemas.openxmlformats.org/officeDocument/2006/math">
        <m:r>
          <m:rPr>
            <m:lit/>
            <m:nor/>
          </m:rPr>
          <m:t xml:space="preserve">Nv</m:t>
        </m:r>
        <m:r>
          <m:t xml:space="preserve">+</m:t>
        </m:r>
        <m:sSub>
          <m:e>
            <m:r>
              <m:t xml:space="preserve">M</m:t>
            </m:r>
          </m:e>
          <m:sub>
            <m:r>
              <m:rPr>
                <m:lit/>
                <m:nor/>
              </m:rPr>
              <m:t xml:space="preserve">max</m:t>
            </m:r>
          </m:sub>
        </m:sSub>
        <m:r>
          <m:t xml:space="preserve">(</m:t>
        </m:r>
        <m:r>
          <m:t xml:space="preserve">V</m:t>
        </m:r>
        <m:r>
          <m:t xml:space="preserve">−</m:t>
        </m:r>
        <m:r>
          <m:t xml:space="preserve">v</m:t>
        </m:r>
        <m:r>
          <m:t xml:space="preserve">)</m:t>
        </m:r>
      </m:oMath>
      <w:r>
        <w:rPr>
          <w:color w:val="0000FF"/>
          <w:sz w:val="24"/>
        </w:rPr>
        <w:t xml:space="preserve">. For simplicity, we assume that both </w:t>
      </w:r>
      <w:r>
        <w:rPr>
          <w:color w:val="0000FF"/>
        </w:rPr>
      </w:r>
      <m:oMath xmlns:m="http://schemas.openxmlformats.org/officeDocument/2006/math">
        <m:sSub>
          <m:e>
            <m:r>
              <m:t xml:space="preserve">M</m:t>
            </m:r>
          </m:e>
          <m:sub>
            <m:r>
              <m:rPr>
                <m:lit/>
                <m:nor/>
              </m:rPr>
              <m:t xml:space="preserve">min</m:t>
            </m:r>
          </m:sub>
        </m:sSub>
      </m:oMath>
      <w:r>
        <w:rPr>
          <w:color w:val="0000FF"/>
          <w:sz w:val="24"/>
        </w:rPr>
        <w:t xml:space="preserve"> and </w:t>
      </w:r>
      <w:r>
        <w:rPr>
          <w:color w:val="0000FF"/>
        </w:rPr>
      </w:r>
      <m:oMath xmlns:m="http://schemas.openxmlformats.org/officeDocument/2006/math">
        <m:sSub>
          <m:e>
            <m:r>
              <m:t xml:space="preserve">M</m:t>
            </m:r>
          </m:e>
          <m:sub>
            <m:r>
              <m:rPr>
                <m:lit/>
                <m:nor/>
              </m:rPr>
              <m:t xml:space="preserve">max</m:t>
            </m:r>
          </m:sub>
        </m:sSub>
      </m:oMath>
      <w:r>
        <w:rPr>
          <w:color w:val="0000FF"/>
          <w:sz w:val="24"/>
        </w:rPr>
        <w:t xml:space="preserve">are integers. Since, for the most economic use of the option, the buyer takes only the minimum or the maximum volume allowed on any given day, it follows that, to avoid paying a fine, the buyer takes the maximum daily volume for a number of days between </w:t>
      </w:r>
      <w:r>
        <w:rPr>
          <w:color w:val="0000FF"/>
        </w:rPr>
      </w:r>
      <m:oMath xmlns:m="http://schemas.openxmlformats.org/officeDocument/2006/math">
        <m:sSub>
          <m:e>
            <m:r>
              <m:t xml:space="preserve">M</m:t>
            </m:r>
          </m:e>
          <m:sub>
            <m:r>
              <m:rPr>
                <m:lit/>
                <m:nor/>
              </m:rPr>
              <m:t xml:space="preserve">min</m:t>
            </m:r>
          </m:sub>
        </m:sSub>
      </m:oMath>
      <w:r>
        <w:rPr>
          <w:color w:val="0000FF"/>
          <w:sz w:val="24"/>
        </w:rPr>
        <w:t xml:space="preserve"> and </w:t>
      </w:r>
      <w:r>
        <w:rPr>
          <w:color w:val="0000FF"/>
        </w:rPr>
      </w:r>
      <m:oMath xmlns:m="http://schemas.openxmlformats.org/officeDocument/2006/math">
        <m:sSub>
          <m:e>
            <m:r>
              <m:t xml:space="preserve">M</m:t>
            </m:r>
          </m:e>
          <m:sub>
            <m:r>
              <m:rPr>
                <m:lit/>
                <m:nor/>
              </m:rPr>
              <m:t xml:space="preserve">max</m:t>
            </m:r>
          </m:sub>
        </m:sSub>
      </m:oMath>
      <w:r>
        <w:rPr>
          <w:color w:val="0000FF"/>
          <w:sz w:val="24"/>
        </w:rPr>
        <w:t xml:space="preserve">, and the minimum daily volume for the remaining days. If the number of days on which the buyer takes the maximum volume </w:t>
      </w:r>
      <w:r>
        <w:rPr>
          <w:i/>
          <w:color w:val="0000FF"/>
          <w:sz w:val="24"/>
        </w:rPr>
        <w:t xml:space="preserve">V </w:t>
      </w:r>
      <w:r>
        <w:rPr>
          <w:color w:val="0000FF"/>
          <w:sz w:val="24"/>
        </w:rPr>
        <w:t xml:space="preserve">falls below </w:t>
      </w:r>
      <w:r>
        <w:rPr>
          <w:color w:val="0000FF"/>
        </w:rPr>
      </w:r>
      <m:oMath xmlns:m="http://schemas.openxmlformats.org/officeDocument/2006/math">
        <m:sSub>
          <m:e>
            <m:r>
              <m:t xml:space="preserve">M</m:t>
            </m:r>
          </m:e>
          <m:sub>
            <m:r>
              <m:rPr>
                <m:lit/>
                <m:nor/>
              </m:rPr>
              <m:t xml:space="preserve">min</m:t>
            </m:r>
          </m:sub>
        </m:sSub>
      </m:oMath>
      <w:r>
        <w:rPr>
          <w:color w:val="0000FF"/>
          <w:sz w:val="24"/>
        </w:rPr>
        <w:t>, a per unit charge of $</w:t>
      </w:r>
      <w:r>
        <w:rPr>
          <w:i/>
          <w:color w:val="0000FF"/>
          <w:sz w:val="24"/>
        </w:rPr>
        <w:t>c</w:t>
      </w:r>
      <w:r>
        <w:rPr>
          <w:color w:val="0000FF"/>
          <w:sz w:val="24"/>
        </w:rPr>
        <w:t xml:space="preserve"> will have to be paid on the volume shortfall. </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color w:val="0000FF"/>
          <w:sz w:val="24"/>
        </w:rPr>
        <w:tab/>
        <w:t xml:space="preserve">For pricing ordinary American options using binomial trees (see the section devoted to numerical methods), we represent a node in the tree by the pair </w:t>
      </w:r>
      <w:r>
        <w:rPr>
          <w:color w:val="0000FF"/>
        </w:rPr>
        <w:object w:dxaOrig="500" w:dyaOrig="2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5pt;height:13pt" filled="f" o:ole="">
            <v:imagedata r:id="rId35" o:title=""/>
          </v:shape>
          <o:OLEObject Type="Embed" ProgID="" ShapeID="ole_rId34" DrawAspect="Content" ObjectID="_490357679" r:id="rId34"/>
        </w:object>
      </w:r>
      <w:r>
        <w:rPr>
          <w:color w:val="0000FF"/>
          <w:sz w:val="24"/>
        </w:rPr>
        <w:t xml:space="preserve"> where </w:t>
      </w:r>
      <w:r>
        <w:rPr>
          <w:i/>
          <w:color w:val="0000FF"/>
          <w:sz w:val="24"/>
        </w:rPr>
        <w:t>i</w:t>
      </w:r>
      <w:r>
        <w:rPr>
          <w:color w:val="0000FF"/>
          <w:sz w:val="24"/>
        </w:rPr>
        <w:t xml:space="preserve"> refers to the time step and </w:t>
      </w:r>
      <w:r>
        <w:rPr>
          <w:i/>
          <w:color w:val="0000FF"/>
          <w:sz w:val="24"/>
        </w:rPr>
        <w:t xml:space="preserve">j </w:t>
      </w:r>
      <w:r>
        <w:rPr>
          <w:color w:val="0000FF"/>
          <w:sz w:val="24"/>
        </w:rPr>
        <w:t xml:space="preserve">refers to the price level. For pricing swing options, we need a triplet </w:t>
      </w:r>
      <w:r>
        <w:rPr>
          <w:color w:val="0000FF"/>
        </w:rPr>
        <w:object w:dxaOrig="74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37pt;height:16pt" filled="f" o:ole="">
            <v:imagedata r:id="rId37" o:title=""/>
          </v:shape>
          <o:OLEObject Type="Embed" ProgID="" ShapeID="ole_rId36" DrawAspect="Content" ObjectID="_456843876" r:id="rId36"/>
        </w:object>
      </w:r>
      <w:r>
        <w:rPr>
          <w:color w:val="0000FF"/>
          <w:sz w:val="24"/>
        </w:rPr>
        <w:t xml:space="preserve"> with the additional index variable </w:t>
      </w:r>
      <w:r>
        <w:rPr>
          <w:i/>
          <w:color w:val="0000FF"/>
          <w:sz w:val="24"/>
        </w:rPr>
        <w:t>k</w:t>
      </w:r>
      <w:r>
        <w:rPr>
          <w:color w:val="0000FF"/>
          <w:sz w:val="24"/>
        </w:rPr>
        <w:t xml:space="preserve"> representing the number of days the maximum daily volume </w:t>
      </w:r>
      <w:r>
        <w:rPr>
          <w:i/>
          <w:color w:val="0000FF"/>
          <w:sz w:val="24"/>
        </w:rPr>
        <w:t>V</w:t>
      </w:r>
      <w:r>
        <w:rPr>
          <w:color w:val="0000FF"/>
          <w:sz w:val="24"/>
        </w:rPr>
        <w:t xml:space="preserve"> has been taken up to the current time. As shown in Figure </w:t>
      </w:r>
      <w:r>
        <w:rPr>
          <w:color w:val="FF00FF"/>
          <w:sz w:val="24"/>
        </w:rPr>
        <w:t>9</w:t>
      </w:r>
      <w:r>
        <w:rPr>
          <w:color w:val="0000FF"/>
          <w:sz w:val="24"/>
        </w:rPr>
        <w:t xml:space="preserve">, </w:t>
      </w:r>
      <w:r>
        <w:rPr>
          <w:i/>
          <w:color w:val="0000FF"/>
          <w:sz w:val="24"/>
        </w:rPr>
        <w:t>k</w:t>
      </w:r>
      <w:r>
        <w:rPr>
          <w:color w:val="0000FF"/>
          <w:sz w:val="24"/>
        </w:rPr>
        <w:t xml:space="preserve"> determines the plane identifying the appropriate binomial tree from the forest, and i, </w:t>
      </w:r>
      <w:r>
        <w:rPr>
          <w:i/>
          <w:color w:val="0000FF"/>
          <w:sz w:val="24"/>
        </w:rPr>
        <w:t>j</w:t>
      </w:r>
      <w:r>
        <w:rPr>
          <w:color w:val="0000FF"/>
          <w:sz w:val="24"/>
        </w:rPr>
        <w:t xml:space="preserve"> determine the specific node on that tree. Let </w:t>
      </w:r>
      <w:r>
        <w:rPr>
          <w:color w:val="0000FF"/>
        </w:rPr>
      </w:r>
      <m:oMath xmlns:m="http://schemas.openxmlformats.org/officeDocument/2006/math">
        <m:sSubSup>
          <m:e>
            <m:r>
              <m:t xml:space="preserve">C</m:t>
            </m:r>
          </m:e>
          <m:sub>
            <m:r>
              <m:rPr>
                <m:lit/>
                <m:nor/>
              </m:rPr>
              <m:t xml:space="preserve">ij</m:t>
            </m:r>
          </m:sub>
          <m:sup>
            <m:r>
              <m:t xml:space="preserve">k</m:t>
            </m:r>
          </m:sup>
        </m:sSubSup>
      </m:oMath>
      <w:r>
        <w:rPr>
          <w:color w:val="0000FF"/>
          <w:sz w:val="24"/>
        </w:rPr>
        <w:t xml:space="preserve"> be the value of the option on day </w:t>
      </w:r>
      <w:r>
        <w:rPr>
          <w:i/>
          <w:color w:val="0000FF"/>
          <w:sz w:val="24"/>
        </w:rPr>
        <w:t>i</w:t>
      </w:r>
      <w:r>
        <w:rPr>
          <w:color w:val="0000FF"/>
          <w:sz w:val="24"/>
        </w:rPr>
        <w:t xml:space="preserve"> at price level </w:t>
      </w:r>
      <w:r>
        <w:rPr>
          <w:color w:val="0000FF"/>
        </w:rPr>
      </w:r>
      <m:oMath xmlns:m="http://schemas.openxmlformats.org/officeDocument/2006/math">
        <m:sSup>
          <m:e>
            <m:r>
              <m:rPr>
                <m:lit/>
                <m:nor/>
              </m:rPr>
              <m:t xml:space="preserve">Fu</m:t>
            </m:r>
          </m:e>
          <m:sup>
            <m:r>
              <m:t xml:space="preserve">j</m:t>
            </m:r>
          </m:sup>
        </m:sSup>
        <m:sSup>
          <m:e>
            <m:r>
              <m:t xml:space="preserve">d</m:t>
            </m:r>
          </m:e>
          <m:sup>
            <m:r>
              <m:t xml:space="preserve">i</m:t>
            </m:r>
            <m:r>
              <m:t xml:space="preserve">−</m:t>
            </m:r>
            <m:r>
              <m:t xml:space="preserve">j</m:t>
            </m:r>
          </m:sup>
        </m:sSup>
      </m:oMath>
      <w:r>
        <w:rPr>
          <w:color w:val="0000FF"/>
          <w:sz w:val="24"/>
        </w:rPr>
        <w:t xml:space="preserve">, given that the volume purchased during the previous </w:t>
      </w:r>
      <w:r>
        <w:rPr>
          <w:color w:val="0000FF"/>
        </w:rPr>
      </w:r>
      <m:oMath xmlns:m="http://schemas.openxmlformats.org/officeDocument/2006/math">
        <m:r>
          <m:t xml:space="preserve">i</m:t>
        </m:r>
        <m:r>
          <m:t xml:space="preserve">−</m:t>
        </m:r>
        <m:r>
          <m:t xml:space="preserve">1</m:t>
        </m:r>
      </m:oMath>
      <w:r>
        <w:rPr>
          <w:color w:val="0000FF"/>
          <w:sz w:val="24"/>
        </w:rPr>
        <w:t xml:space="preserve"> days is </w:t>
      </w:r>
      <w:r>
        <w:rPr>
          <w:color w:val="0000FF"/>
        </w:rPr>
      </w:r>
      <m:oMath xmlns:m="http://schemas.openxmlformats.org/officeDocument/2006/math">
        <m:r>
          <m:t xml:space="preserve">(</m:t>
        </m:r>
        <m:r>
          <m:t xml:space="preserve">i</m:t>
        </m:r>
        <m:r>
          <m:t xml:space="preserve">−</m:t>
        </m:r>
        <m:r>
          <m:t xml:space="preserve">1</m:t>
        </m:r>
        <m:r>
          <m:t xml:space="preserve">)</m:t>
        </m:r>
        <m:r>
          <m:t xml:space="preserve">v</m:t>
        </m:r>
        <m:r>
          <m:t xml:space="preserve">+</m:t>
        </m:r>
      </m:oMath>
      <w:r>
        <w:rPr>
          <w:color w:val="0000FF"/>
        </w:rPr>
      </w:r>
      <m:oMath xmlns:m="http://schemas.openxmlformats.org/officeDocument/2006/math">
        <m:r>
          <m:t xml:space="preserve">k</m:t>
        </m:r>
        <m:r>
          <m:t xml:space="preserve">(</m:t>
        </m:r>
        <m:r>
          <m:t xml:space="preserve">V</m:t>
        </m:r>
        <m:r>
          <m:t xml:space="preserve">−</m:t>
        </m:r>
        <m:r>
          <m:t xml:space="preserve">v</m:t>
        </m:r>
        <m:r>
          <m:t xml:space="preserve">)</m:t>
        </m:r>
      </m:oMath>
      <w:r>
        <w:rPr>
          <w:color w:val="0000FF"/>
          <w:sz w:val="24"/>
        </w:rPr>
        <w:t xml:space="preserve"> (we refer to this volume as volume level </w:t>
      </w:r>
      <w:r>
        <w:rPr>
          <w:i/>
          <w:color w:val="0000FF"/>
          <w:sz w:val="24"/>
        </w:rPr>
        <w:t>k</w:t>
      </w:r>
      <w:r>
        <w:rPr>
          <w:color w:val="0000FF"/>
          <w:sz w:val="24"/>
        </w:rPr>
        <w:t xml:space="preserve">). Thus </w:t>
      </w:r>
      <w:r>
        <w:rPr>
          <w:color w:val="0000FF"/>
        </w:rPr>
      </w:r>
      <m:oMath xmlns:m="http://schemas.openxmlformats.org/officeDocument/2006/math">
        <m:sSubSup>
          <m:e>
            <m:r>
              <m:t xml:space="preserve">C</m:t>
            </m:r>
          </m:e>
          <m:sub>
            <m:r>
              <m:rPr>
                <m:lit/>
                <m:nor/>
              </m:rPr>
              <m:t xml:space="preserve">ij</m:t>
            </m:r>
          </m:sub>
          <m:sup>
            <m:r>
              <m:t xml:space="preserve">k</m:t>
            </m:r>
          </m:sup>
        </m:sSubSup>
      </m:oMath>
      <w:r>
        <w:rPr>
          <w:color w:val="0000FF"/>
          <w:sz w:val="24"/>
        </w:rPr>
        <w:t xml:space="preserve"> is the option value at node </w:t>
      </w:r>
      <w:r>
        <w:rPr>
          <w:color w:val="0000FF"/>
        </w:rPr>
        <w:object w:dxaOrig="500" w:dyaOrig="2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5pt;height:13pt" filled="f" o:ole="">
            <v:imagedata r:id="rId39" o:title=""/>
          </v:shape>
          <o:OLEObject Type="Embed" ProgID="" ShapeID="ole_rId38" DrawAspect="Content" ObjectID="_1608025002" r:id="rId38"/>
        </w:object>
      </w:r>
      <w:r>
        <w:rPr>
          <w:color w:val="0000FF"/>
          <w:sz w:val="24"/>
        </w:rPr>
        <w:t xml:space="preserve"> if the maximum daily volume </w:t>
      </w:r>
      <w:r>
        <w:rPr>
          <w:i/>
          <w:color w:val="0000FF"/>
          <w:sz w:val="24"/>
        </w:rPr>
        <w:t>V</w:t>
      </w:r>
      <w:r>
        <w:rPr>
          <w:color w:val="0000FF"/>
          <w:sz w:val="24"/>
        </w:rPr>
        <w:t xml:space="preserve"> has been taken on </w:t>
      </w:r>
      <w:r>
        <w:rPr>
          <w:i/>
          <w:color w:val="0000FF"/>
          <w:sz w:val="24"/>
        </w:rPr>
        <w:t>k</w:t>
      </w:r>
      <w:r>
        <w:rPr>
          <w:color w:val="0000FF"/>
          <w:sz w:val="24"/>
        </w:rPr>
        <w:t xml:space="preserve"> of the previous </w:t>
      </w:r>
      <w:r>
        <w:rPr>
          <w:color w:val="0000FF"/>
        </w:rPr>
      </w:r>
      <m:oMath xmlns:m="http://schemas.openxmlformats.org/officeDocument/2006/math">
        <m:r>
          <m:t xml:space="preserve">i</m:t>
        </m:r>
        <m:r>
          <m:t xml:space="preserve">−</m:t>
        </m:r>
        <m:r>
          <m:t xml:space="preserve">1</m:t>
        </m:r>
      </m:oMath>
      <w:r>
        <w:rPr>
          <w:color w:val="0000FF"/>
          <w:sz w:val="24"/>
        </w:rPr>
        <w:t xml:space="preserve"> days (with only the minimum volume </w:t>
      </w:r>
      <w:r>
        <w:rPr>
          <w:i/>
          <w:color w:val="0000FF"/>
          <w:sz w:val="24"/>
        </w:rPr>
        <w:t>v</w:t>
      </w:r>
      <w:r>
        <w:rPr>
          <w:color w:val="0000FF"/>
          <w:sz w:val="24"/>
        </w:rPr>
        <w:t xml:space="preserve"> being taken on the remaining days). Also, let </w:t>
      </w:r>
      <w:r>
        <w:rPr>
          <w:color w:val="0000FF"/>
        </w:rPr>
        <w:object w:dxaOrig="480" w:dyaOrig="2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4pt;height:14pt" filled="f" o:ole="">
            <v:imagedata r:id="rId41" o:title=""/>
          </v:shape>
          <o:OLEObject Type="Embed" ProgID="" ShapeID="ole_rId40" DrawAspect="Content" ObjectID="_1699735402" r:id="rId40"/>
        </w:object>
      </w:r>
      <w:r>
        <w:rPr>
          <w:color w:val="0000FF"/>
        </w:rPr>
        <w:object w:dxaOrig="960" w:dyaOrig="28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48pt;height:14pt" filled="f" o:ole="">
            <v:imagedata r:id="rId43" o:title=""/>
          </v:shape>
          <o:OLEObject Type="Embed" ProgID="" ShapeID="ole_rId42" DrawAspect="Content" ObjectID="_320443201" r:id="rId42"/>
        </w:object>
      </w:r>
      <w:r>
        <w:rPr>
          <w:color w:val="0000FF"/>
          <w:sz w:val="24"/>
        </w:rPr>
        <w:t xml:space="preserve">. </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b/>
          <w:color w:val="0000FF"/>
          <w:sz w:val="24"/>
        </w:rPr>
      </w:pPr>
      <w:r>
        <w:rPr>
          <w:b/>
          <w:color w:val="0000FF"/>
          <w:sz w:val="24"/>
        </w:rPr>
        <w:t>Valuation Procedure for Take-or-Pay Options</w:t>
      </w:r>
    </w:p>
    <w:p>
      <w:pPr>
        <w:pStyle w:val="Normal"/>
        <w:numPr>
          <w:ilvl w:val="0"/>
          <w:numId w:val="0"/>
        </w:numPr>
        <w:ind w:hanging="0" w:start="0"/>
        <w:jc w:val="both"/>
        <w:rPr>
          <w:b/>
          <w:color w:val="0000FF"/>
          <w:sz w:val="24"/>
        </w:rPr>
      </w:pPr>
      <w:r>
        <w:rPr>
          <w:b/>
          <w:color w:val="0000FF"/>
          <w:sz w:val="24"/>
        </w:rPr>
      </w:r>
    </w:p>
    <w:p>
      <w:pPr>
        <w:pStyle w:val="Normal"/>
        <w:numPr>
          <w:ilvl w:val="0"/>
          <w:numId w:val="0"/>
        </w:numPr>
        <w:ind w:hanging="0" w:start="0"/>
        <w:jc w:val="both"/>
        <w:rPr/>
      </w:pPr>
      <w:r>
        <w:rPr>
          <w:color w:val="0000FF"/>
          <w:sz w:val="24"/>
        </w:rPr>
        <w:t xml:space="preserve">The recursion equations for computing </w:t>
      </w:r>
      <w:r>
        <w:rPr>
          <w:color w:val="0000FF"/>
        </w:rPr>
      </w:r>
      <m:oMath xmlns:m="http://schemas.openxmlformats.org/officeDocument/2006/math">
        <m:sSubSup>
          <m:e>
            <m:r>
              <m:t xml:space="preserve">C</m:t>
            </m:r>
          </m:e>
          <m:sub>
            <m:r>
              <m:rPr>
                <m:lit/>
                <m:nor/>
              </m:rPr>
              <m:t xml:space="preserve">ij</m:t>
            </m:r>
          </m:sub>
          <m:sup>
            <m:r>
              <m:t xml:space="preserve">k</m:t>
            </m:r>
          </m:sup>
        </m:sSubSup>
      </m:oMath>
      <w:r>
        <w:rPr>
          <w:color w:val="0000FF"/>
          <w:sz w:val="24"/>
        </w:rPr>
        <w:t xml:space="preserve"> using dynamic programming are given in this section. These equations might be easier to understand if one goes through the calculations in the example in Panel 7.</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i/>
          <w:color w:val="0000FF"/>
          <w:sz w:val="24"/>
        </w:rPr>
        <w:t>Initialization</w:t>
      </w:r>
      <w:r>
        <w:rPr>
          <w:color w:val="0000FF"/>
          <w:sz w:val="24"/>
        </w:rPr>
        <w:t>. The value of the option at time</w:t>
      </w:r>
      <w:r>
        <w:rPr>
          <w:color w:val="0000FF"/>
        </w:rPr>
      </w:r>
      <m:oMath xmlns:m="http://schemas.openxmlformats.org/officeDocument/2006/math">
        <m:r>
          <m:t xml:space="preserve">N</m:t>
        </m:r>
        <m:r>
          <m:t xml:space="preserve">+</m:t>
        </m:r>
        <m:r>
          <m:t xml:space="preserve">1</m:t>
        </m:r>
      </m:oMath>
      <w:r>
        <w:rPr>
          <w:color w:val="0000FF"/>
          <w:sz w:val="24"/>
        </w:rPr>
        <w:t xml:space="preserve"> equals the unit penalty multiplied by the volume shorfall, if any. Thus</w:t>
      </w:r>
      <w:r>
        <w:rPr>
          <w:color w:val="0000FF"/>
          <w:sz w:val="24"/>
          <w:vertAlign w:val="superscript"/>
        </w:rPr>
        <w:t>8</w:t>
      </w:r>
      <w:r>
        <w:rPr>
          <w:color w:val="0000FF"/>
          <w:sz w:val="24"/>
        </w:rPr>
        <w:t>,</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color w:val="0000FF"/>
          <w:sz w:val="24"/>
        </w:rPr>
        <w:tab/>
        <w:t xml:space="preserve">for </w:t>
      </w:r>
      <w:r>
        <w:rPr>
          <w:color w:val="0000FF"/>
        </w:rPr>
        <w:object w:dxaOrig="3300" w:dyaOrig="3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65pt;height:18pt" filled="f" o:ole="">
            <v:imagedata r:id="rId45" o:title=""/>
          </v:shape>
          <o:OLEObject Type="Embed" ProgID="" ShapeID="ole_rId44" DrawAspect="Content" ObjectID="_1703982489" r:id="rId44"/>
        </w:object>
      </w:r>
      <w:r>
        <w:rPr>
          <w:color w:val="0000FF"/>
          <w:sz w:val="24"/>
        </w:rPr>
        <w:t>,</w:t>
      </w:r>
    </w:p>
    <w:p>
      <w:pPr>
        <w:pStyle w:val="Normal"/>
        <w:numPr>
          <w:ilvl w:val="0"/>
          <w:numId w:val="0"/>
        </w:numPr>
        <w:ind w:hanging="0" w:start="0"/>
        <w:jc w:val="both"/>
        <w:rPr>
          <w:color w:val="0000FF"/>
          <w:sz w:val="24"/>
        </w:rPr>
      </w:pPr>
      <w:r>
        <w:rPr>
          <w:color w:val="0000FF"/>
          <w:sz w:val="24"/>
        </w:rPr>
      </w:r>
    </w:p>
    <w:p>
      <w:pPr>
        <w:pStyle w:val="Normal"/>
        <w:numPr>
          <w:ilvl w:val="0"/>
          <w:numId w:val="0"/>
        </w:numPr>
        <w:tabs>
          <w:tab w:val="left" w:pos="720" w:leader="none"/>
          <w:tab w:val="left" w:pos="2880" w:leader="none"/>
        </w:tabs>
        <w:ind w:hanging="0" w:start="0"/>
        <w:jc w:val="both"/>
        <w:rPr/>
      </w:pPr>
      <w:r>
        <w:rPr>
          <w:color w:val="0000FF"/>
          <w:sz w:val="24"/>
        </w:rPr>
      </w:r>
      <m:oMath xmlns:m="http://schemas.openxmlformats.org/officeDocument/2006/math">
        <m:sSubSup>
          <m:e>
            <m:r>
              <m:t xml:space="preserve">C</m:t>
            </m:r>
          </m:e>
          <m:sub>
            <m:r>
              <m:t xml:space="preserve">N</m:t>
            </m:r>
            <m:r>
              <m:t xml:space="preserve">+</m:t>
            </m:r>
            <m:r>
              <m:t xml:space="preserve">1</m:t>
            </m:r>
            <m:r>
              <m:t xml:space="preserve">,</m:t>
            </m:r>
            <m:r>
              <m:t xml:space="preserve">j</m:t>
            </m:r>
          </m:sub>
          <m:sup>
            <m:r>
              <m:t xml:space="preserve">k</m:t>
            </m:r>
          </m:sup>
        </m:sSubSup>
        <m:r>
          <m:t xml:space="preserve">=</m:t>
        </m:r>
        <m:r>
          <m:t xml:space="preserve">−</m:t>
        </m:r>
        <m:r>
          <m:t xml:space="preserve">c</m:t>
        </m:r>
        <m:r>
          <m:t xml:space="preserve">(</m:t>
        </m:r>
        <m:r>
          <m:t xml:space="preserve">V</m:t>
        </m:r>
        <m:r>
          <m:t xml:space="preserve">−</m:t>
        </m:r>
        <m:r>
          <m:t xml:space="preserve">v</m:t>
        </m:r>
        <m:r>
          <m:t xml:space="preserve">)</m:t>
        </m:r>
        <m:r>
          <m:t xml:space="preserve">(</m:t>
        </m:r>
        <m:sSub>
          <m:e>
            <m:r>
              <m:t xml:space="preserve">M</m:t>
            </m:r>
          </m:e>
          <m:sub>
            <m:r>
              <m:rPr>
                <m:lit/>
                <m:nor/>
              </m:rPr>
              <m:t xml:space="preserve">min</m:t>
            </m:r>
          </m:sub>
        </m:sSub>
        <m:r>
          <m:t xml:space="preserve">−</m:t>
        </m:r>
        <m:r>
          <m:t xml:space="preserve">k</m:t>
        </m:r>
        <m:sSup>
          <m:e>
            <m:r>
              <m:t xml:space="preserve">)</m:t>
            </m:r>
          </m:e>
          <m:sup>
            <m:r>
              <m:t xml:space="preserve">+</m:t>
            </m:r>
          </m:sup>
        </m:sSup>
        <m:r>
          <m:t xml:space="preserve">/</m:t>
        </m:r>
        <m:r>
          <m:t xml:space="preserve">ε</m:t>
        </m:r>
      </m:oMath>
      <w:r>
        <w:rPr>
          <w:color w:val="0000FF"/>
          <w:sz w:val="24"/>
        </w:rPr>
        <w:t>.</w:t>
      </w:r>
    </w:p>
    <w:p>
      <w:pPr>
        <w:pStyle w:val="Normal"/>
        <w:numPr>
          <w:ilvl w:val="0"/>
          <w:numId w:val="0"/>
        </w:numPr>
        <w:tabs>
          <w:tab w:val="left" w:pos="720" w:leader="none"/>
          <w:tab w:val="left" w:pos="2880" w:leader="none"/>
        </w:tabs>
        <w:ind w:hanging="0" w:start="0"/>
        <w:jc w:val="both"/>
        <w:rPr>
          <w:color w:val="0000FF"/>
          <w:sz w:val="24"/>
        </w:rPr>
      </w:pPr>
      <w:r>
        <w:rPr>
          <w:color w:val="0000FF"/>
          <w:sz w:val="24"/>
        </w:rPr>
      </w:r>
    </w:p>
    <w:p>
      <w:pPr>
        <w:pStyle w:val="Normal"/>
        <w:numPr>
          <w:ilvl w:val="0"/>
          <w:numId w:val="0"/>
        </w:numPr>
        <w:ind w:hanging="0" w:start="0"/>
        <w:jc w:val="both"/>
        <w:rPr/>
      </w:pPr>
      <w:r>
        <w:rPr>
          <w:i/>
          <w:color w:val="0000FF"/>
          <w:sz w:val="24"/>
        </w:rPr>
        <w:t>Iteration</w:t>
      </w:r>
      <w:r>
        <w:rPr>
          <w:color w:val="0000FF"/>
          <w:sz w:val="24"/>
        </w:rPr>
        <w:t xml:space="preserve">. At node </w:t>
      </w:r>
      <w:r>
        <w:rPr>
          <w:color w:val="0000FF"/>
        </w:rPr>
        <w:object w:dxaOrig="500" w:dyaOrig="2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5pt;height:13pt" filled="f" o:ole="">
            <v:imagedata r:id="rId47" o:title=""/>
          </v:shape>
          <o:OLEObject Type="Embed" ProgID="" ShapeID="ole_rId46" DrawAspect="Content" ObjectID="_151090646" r:id="rId46"/>
        </w:object>
      </w:r>
      <w:r>
        <w:rPr>
          <w:color w:val="0000FF"/>
          <w:sz w:val="24"/>
        </w:rPr>
        <w:t xml:space="preserve">, for economic exercise of the option, there are, in general, two choices for the holder of the option: to purchase the minimum volume or the maximum volume on day </w:t>
      </w:r>
      <w:r>
        <w:rPr>
          <w:i/>
          <w:color w:val="0000FF"/>
          <w:sz w:val="24"/>
        </w:rPr>
        <w:t>i</w:t>
      </w:r>
      <w:r>
        <w:rPr>
          <w:color w:val="0000FF"/>
          <w:sz w:val="24"/>
        </w:rPr>
        <w:t xml:space="preserve">. Thus </w:t>
      </w:r>
      <w:r>
        <w:rPr>
          <w:color w:val="0000FF"/>
        </w:rPr>
      </w:r>
      <m:oMath xmlns:m="http://schemas.openxmlformats.org/officeDocument/2006/math">
        <m:sSubSup>
          <m:e>
            <m:r>
              <m:t xml:space="preserve">C</m:t>
            </m:r>
          </m:e>
          <m:sub>
            <m:r>
              <m:rPr>
                <m:lit/>
                <m:nor/>
              </m:rPr>
              <m:t xml:space="preserve">ij</m:t>
            </m:r>
          </m:sub>
          <m:sup>
            <m:r>
              <m:t xml:space="preserve">k</m:t>
            </m:r>
          </m:sup>
        </m:sSubSup>
      </m:oMath>
      <w:r>
        <w:rPr>
          <w:color w:val="0000FF"/>
          <w:sz w:val="24"/>
        </w:rPr>
        <w:t xml:space="preserve"> can be written as the maximum of two terms corresponding to the option values using these two choices respectively. If the minimum volume </w:t>
      </w:r>
      <w:r>
        <w:rPr>
          <w:i/>
          <w:color w:val="0000FF"/>
          <w:sz w:val="24"/>
        </w:rPr>
        <w:t>v</w:t>
      </w:r>
      <w:r>
        <w:rPr>
          <w:color w:val="0000FF"/>
          <w:sz w:val="24"/>
        </w:rPr>
        <w:t xml:space="preserve"> is purchased, the volume level remains unchanged at </w:t>
      </w:r>
      <w:r>
        <w:rPr>
          <w:i/>
          <w:color w:val="0000FF"/>
          <w:sz w:val="24"/>
        </w:rPr>
        <w:t>k</w:t>
      </w:r>
      <w:r>
        <w:rPr>
          <w:color w:val="0000FF"/>
          <w:sz w:val="24"/>
        </w:rPr>
        <w:t xml:space="preserve">. If the maximum volume </w:t>
      </w:r>
      <w:r>
        <w:rPr>
          <w:i/>
          <w:color w:val="0000FF"/>
          <w:sz w:val="24"/>
        </w:rPr>
        <w:t>V</w:t>
      </w:r>
      <w:r>
        <w:rPr>
          <w:color w:val="0000FF"/>
          <w:sz w:val="24"/>
        </w:rPr>
        <w:t xml:space="preserve"> is taken on day </w:t>
      </w:r>
      <w:r>
        <w:rPr>
          <w:i/>
          <w:color w:val="0000FF"/>
          <w:sz w:val="24"/>
        </w:rPr>
        <w:t>i</w:t>
      </w:r>
      <w:r>
        <w:rPr>
          <w:color w:val="0000FF"/>
          <w:sz w:val="24"/>
        </w:rPr>
        <w:t xml:space="preserve">, then the total number of days with maximum volume increases by one, so the new volume level is </w:t>
      </w:r>
      <w:r>
        <w:rPr>
          <w:i/>
          <w:color w:val="0000FF"/>
          <w:sz w:val="24"/>
        </w:rPr>
        <w:t>k</w:t>
      </w:r>
      <w:r>
        <w:rPr>
          <w:color w:val="0000FF"/>
          <w:sz w:val="24"/>
        </w:rPr>
        <w:t>+1. Using these, we can write:</w:t>
      </w:r>
    </w:p>
    <w:p>
      <w:pPr>
        <w:pStyle w:val="Normal"/>
        <w:numPr>
          <w:ilvl w:val="0"/>
          <w:numId w:val="0"/>
        </w:numPr>
        <w:ind w:hanging="0" w:start="0"/>
        <w:jc w:val="both"/>
        <w:rPr>
          <w:color w:val="0000FF"/>
          <w:sz w:val="24"/>
        </w:rPr>
      </w:pPr>
      <w:r>
        <w:rPr>
          <w:color w:val="0000FF"/>
          <w:sz w:val="24"/>
        </w:rPr>
      </w:r>
    </w:p>
    <w:p>
      <w:pPr>
        <w:pStyle w:val="Normal"/>
        <w:numPr>
          <w:ilvl w:val="0"/>
          <w:numId w:val="0"/>
        </w:numPr>
        <w:tabs>
          <w:tab w:val="left" w:pos="720" w:leader="none"/>
          <w:tab w:val="left" w:pos="1440" w:leader="none"/>
          <w:tab w:val="left" w:pos="2160" w:leader="none"/>
        </w:tabs>
        <w:ind w:hanging="0" w:start="0"/>
        <w:jc w:val="both"/>
        <w:rPr/>
      </w:pPr>
      <w:r>
        <w:rPr>
          <w:color w:val="0000FF"/>
          <w:sz w:val="24"/>
        </w:rPr>
        <w:tab/>
        <w:t xml:space="preserve">For </w:t>
      </w:r>
      <w:r>
        <w:rPr>
          <w:color w:val="0000FF"/>
        </w:rPr>
        <w:object w:dxaOrig="3700" w:dyaOrig="3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85pt;height:18pt" filled="f" o:ole="">
            <v:imagedata r:id="rId49" o:title=""/>
          </v:shape>
          <o:OLEObject Type="Embed" ProgID="" ShapeID="ole_rId48" DrawAspect="Content" ObjectID="_1393967377" r:id="rId48"/>
        </w:object>
      </w:r>
      <w:r>
        <w:rPr>
          <w:color w:val="0000FF"/>
          <w:sz w:val="24"/>
        </w:rPr>
        <w:t>,</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color w:val="0000FF"/>
          <w:sz w:val="24"/>
        </w:rPr>
      </w:pPr>
      <w:r>
        <w:rPr>
          <w:color w:val="0000FF"/>
        </w:rPr>
      </w:r>
      <m:oMathPara xmlns:m="http://schemas.openxmlformats.org/officeDocument/2006/math">
        <m:oMathParaPr>
          <m:jc m:val="left"/>
        </m:oMathParaPr>
        <m:oMath>
          <m:sSubSup>
            <m:e>
              <m:r>
                <m:t xml:space="preserve">C</m:t>
              </m:r>
            </m:e>
            <m:sub>
              <m:r>
                <m:rPr>
                  <m:lit/>
                  <m:nor/>
                </m:rPr>
                <m:t xml:space="preserve">ij</m:t>
              </m:r>
            </m:sub>
            <m:sup>
              <m:r>
                <m:t xml:space="preserve">k</m:t>
              </m:r>
            </m:sup>
          </m:sSubSup>
          <m:r>
            <m:t xml:space="preserve">=</m:t>
          </m:r>
          <m:r>
            <m:rPr>
              <m:lit/>
              <m:nor/>
            </m:rPr>
            <m:t xml:space="preserve">max</m:t>
          </m:r>
          <m:d>
            <m:dPr>
              <m:begChr m:val="{"/>
              <m:endChr m:val=""/>
            </m:dPr>
            <m:e>
              <m:m>
                <m:mr>
                  <m:e>
                    <m:r>
                      <m:t xml:space="preserve">(</m:t>
                    </m:r>
                    <m:sSup>
                      <m:e>
                        <m:r>
                          <m:rPr>
                            <m:lit/>
                            <m:nor/>
                          </m:rPr>
                          <m:t xml:space="preserve">Fu</m:t>
                        </m:r>
                      </m:e>
                      <m:sup>
                        <m:r>
                          <m:t xml:space="preserve">j</m:t>
                        </m:r>
                      </m:sup>
                    </m:sSup>
                    <m:sSup>
                      <m:e>
                        <m:r>
                          <m:t xml:space="preserve">d</m:t>
                        </m:r>
                      </m:e>
                      <m:sup>
                        <m:r>
                          <m:t xml:space="preserve">i</m:t>
                        </m:r>
                        <m:r>
                          <m:t xml:space="preserve">−</m:t>
                        </m:r>
                        <m:r>
                          <m:t xml:space="preserve">j</m:t>
                        </m:r>
                      </m:sup>
                    </m:sSup>
                    <m:r>
                      <m:t xml:space="preserve">−</m:t>
                    </m:r>
                    <m:r>
                      <m:t xml:space="preserve">K</m:t>
                    </m:r>
                    <m:r>
                      <m:t xml:space="preserve">)</m:t>
                    </m:r>
                    <m:r>
                      <m:t xml:space="preserve">v</m:t>
                    </m:r>
                    <m:r>
                      <m:t xml:space="preserve">+</m:t>
                    </m:r>
                    <m:r>
                      <m:t xml:space="preserve">α</m:t>
                    </m:r>
                    <m:d>
                      <m:dPr>
                        <m:begChr m:val="["/>
                        <m:endChr m:val="]"/>
                      </m:dPr>
                      <m:e>
                        <m:sSubSup>
                          <m:e>
                            <m:r>
                              <m:rPr>
                                <m:lit/>
                                <m:nor/>
                              </m:rPr>
                              <m:t xml:space="preserve">pC</m:t>
                            </m:r>
                          </m:e>
                          <m:sub>
                            <m:r>
                              <m:t xml:space="preserve">i</m:t>
                            </m:r>
                            <m:r>
                              <m:t xml:space="preserve">+</m:t>
                            </m:r>
                            <m:r>
                              <m:t xml:space="preserve">1</m:t>
                            </m:r>
                            <m:r>
                              <m:t xml:space="preserve">,</m:t>
                            </m:r>
                            <m:r>
                              <m:t xml:space="preserve">j</m:t>
                            </m:r>
                            <m:r>
                              <m:t xml:space="preserve">+</m:t>
                            </m:r>
                            <m:r>
                              <m:t xml:space="preserve">1</m:t>
                            </m:r>
                          </m:sub>
                          <m:sup>
                            <m:r>
                              <m:t xml:space="preserve">k</m:t>
                            </m:r>
                          </m:sup>
                        </m:sSubSup>
                        <m:r>
                          <m:t xml:space="preserve">+</m:t>
                        </m:r>
                        <m:sSubSup>
                          <m:e>
                            <m:r>
                              <m:rPr>
                                <m:lit/>
                                <m:nor/>
                              </m:rPr>
                              <m:t xml:space="preserve">qC</m:t>
                            </m:r>
                          </m:e>
                          <m:sub>
                            <m:r>
                              <m:t xml:space="preserve">i</m:t>
                            </m:r>
                            <m:r>
                              <m:t xml:space="preserve">+</m:t>
                            </m:r>
                            <m:r>
                              <m:t xml:space="preserve">1</m:t>
                            </m:r>
                            <m:r>
                              <m:t xml:space="preserve">,</m:t>
                            </m:r>
                            <m:r>
                              <m:t xml:space="preserve">j</m:t>
                            </m:r>
                          </m:sub>
                          <m:sup>
                            <m:r>
                              <m:t xml:space="preserve">k</m:t>
                            </m:r>
                          </m:sup>
                        </m:sSubSup>
                      </m:e>
                    </m:d>
                  </m:e>
                </m:mr>
                <m:mr>
                  <m:e>
                    <m:r>
                      <m:t xml:space="preserve">(</m:t>
                    </m:r>
                    <m:sSup>
                      <m:e>
                        <m:r>
                          <m:rPr>
                            <m:lit/>
                            <m:nor/>
                          </m:rPr>
                          <m:t xml:space="preserve">Fu</m:t>
                        </m:r>
                      </m:e>
                      <m:sup>
                        <m:r>
                          <m:t xml:space="preserve">j</m:t>
                        </m:r>
                      </m:sup>
                    </m:sSup>
                    <m:sSup>
                      <m:e>
                        <m:r>
                          <m:t xml:space="preserve">d</m:t>
                        </m:r>
                      </m:e>
                      <m:sup>
                        <m:r>
                          <m:t xml:space="preserve">i</m:t>
                        </m:r>
                        <m:r>
                          <m:t xml:space="preserve">−</m:t>
                        </m:r>
                        <m:r>
                          <m:t xml:space="preserve">j</m:t>
                        </m:r>
                      </m:sup>
                    </m:sSup>
                    <m:r>
                      <m:t xml:space="preserve">−</m:t>
                    </m:r>
                    <m:r>
                      <m:t xml:space="preserve">K</m:t>
                    </m:r>
                    <m:r>
                      <m:t xml:space="preserve">)</m:t>
                    </m:r>
                    <m:r>
                      <m:t xml:space="preserve">V</m:t>
                    </m:r>
                    <m:r>
                      <m:t xml:space="preserve">+</m:t>
                    </m:r>
                    <m:r>
                      <m:t xml:space="preserve">α</m:t>
                    </m:r>
                    <m:d>
                      <m:dPr>
                        <m:begChr m:val="["/>
                        <m:endChr m:val="]"/>
                      </m:dPr>
                      <m:e>
                        <m:sSubSup>
                          <m:e>
                            <m:r>
                              <m:rPr>
                                <m:lit/>
                                <m:nor/>
                              </m:rPr>
                              <m:t xml:space="preserve">pC</m:t>
                            </m:r>
                          </m:e>
                          <m:sub>
                            <m:r>
                              <m:t xml:space="preserve">i</m:t>
                            </m:r>
                            <m:r>
                              <m:t xml:space="preserve">+</m:t>
                            </m:r>
                            <m:r>
                              <m:t xml:space="preserve">1</m:t>
                            </m:r>
                            <m:r>
                              <m:t xml:space="preserve">,</m:t>
                            </m:r>
                            <m:r>
                              <m:t xml:space="preserve">j</m:t>
                            </m:r>
                            <m:r>
                              <m:t xml:space="preserve">+</m:t>
                            </m:r>
                            <m:r>
                              <m:t xml:space="preserve">1</m:t>
                            </m:r>
                          </m:sub>
                          <m:sup>
                            <m:r>
                              <m:t xml:space="preserve">k</m:t>
                            </m:r>
                            <m:r>
                              <m:t xml:space="preserve">+</m:t>
                            </m:r>
                            <m:r>
                              <m:t xml:space="preserve">1</m:t>
                            </m:r>
                          </m:sup>
                        </m:sSubSup>
                        <m:r>
                          <m:t xml:space="preserve">+</m:t>
                        </m:r>
                        <m:sSubSup>
                          <m:e>
                            <m:r>
                              <m:rPr>
                                <m:lit/>
                                <m:nor/>
                              </m:rPr>
                              <m:t xml:space="preserve">qC</m:t>
                            </m:r>
                          </m:e>
                          <m:sub>
                            <m:r>
                              <m:t xml:space="preserve">i</m:t>
                            </m:r>
                            <m:r>
                              <m:t xml:space="preserve">+</m:t>
                            </m:r>
                            <m:r>
                              <m:t xml:space="preserve">1</m:t>
                            </m:r>
                            <m:r>
                              <m:t xml:space="preserve">,</m:t>
                            </m:r>
                            <m:r>
                              <m:t xml:space="preserve">j</m:t>
                            </m:r>
                          </m:sub>
                          <m:sup>
                            <m:r>
                              <m:t xml:space="preserve">k</m:t>
                            </m:r>
                            <m:r>
                              <m:t xml:space="preserve">+</m:t>
                            </m:r>
                            <m:r>
                              <m:t xml:space="preserve">1</m:t>
                            </m:r>
                          </m:sup>
                        </m:sSubSup>
                      </m:e>
                    </m:d>
                  </m:e>
                </m:mr>
              </m:m>
            </m:e>
          </m:d>
        </m:oMath>
      </m:oMathPara>
    </w:p>
    <w:p>
      <w:pPr>
        <w:pStyle w:val="Normal"/>
        <w:numPr>
          <w:ilvl w:val="0"/>
          <w:numId w:val="0"/>
        </w:numPr>
        <w:ind w:hanging="0" w:start="0"/>
        <w:jc w:val="both"/>
        <w:rPr>
          <w:color w:val="0000FF"/>
          <w:sz w:val="24"/>
        </w:rPr>
      </w:pPr>
      <w:r>
        <w:rPr>
          <w:color w:val="0000FF"/>
          <w:sz w:val="24"/>
        </w:rPr>
      </w:r>
    </w:p>
    <w:p>
      <w:pPr>
        <w:pStyle w:val="Normal"/>
        <w:numPr>
          <w:ilvl w:val="0"/>
          <w:numId w:val="0"/>
        </w:numPr>
        <w:tabs>
          <w:tab w:val="left" w:pos="720" w:leader="none"/>
          <w:tab w:val="left" w:pos="2880" w:leader="none"/>
        </w:tabs>
        <w:ind w:hanging="0" w:start="0"/>
        <w:jc w:val="both"/>
        <w:rPr/>
      </w:pPr>
      <w:r>
        <w:rPr>
          <w:i/>
          <w:color w:val="0000FF"/>
          <w:sz w:val="24"/>
        </w:rPr>
        <w:t>Termination</w:t>
      </w:r>
      <w:r>
        <w:rPr>
          <w:color w:val="0000FF"/>
          <w:sz w:val="24"/>
        </w:rPr>
        <w:t>. The value of the option is given by</w:t>
      </w:r>
    </w:p>
    <w:p>
      <w:pPr>
        <w:pStyle w:val="Normal"/>
        <w:numPr>
          <w:ilvl w:val="0"/>
          <w:numId w:val="0"/>
        </w:numPr>
        <w:ind w:hanging="0" w:start="0"/>
        <w:jc w:val="both"/>
        <w:rPr>
          <w:color w:val="0000FF"/>
          <w:sz w:val="24"/>
        </w:rPr>
      </w:pPr>
      <w:r>
        <w:rPr>
          <w:color w:val="0000FF"/>
          <w:sz w:val="24"/>
        </w:rPr>
      </w:r>
    </w:p>
    <w:p>
      <w:pPr>
        <w:pStyle w:val="Normal"/>
        <w:numPr>
          <w:ilvl w:val="0"/>
          <w:numId w:val="0"/>
        </w:numPr>
        <w:tabs>
          <w:tab w:val="left" w:pos="720" w:leader="none"/>
          <w:tab w:val="left" w:pos="2880" w:leader="none"/>
        </w:tabs>
        <w:ind w:hanging="0" w:start="0"/>
        <w:jc w:val="both"/>
        <w:rPr/>
      </w:pPr>
      <w:r>
        <w:rPr/>
      </w:r>
      <m:oMath xmlns:m="http://schemas.openxmlformats.org/officeDocument/2006/math">
        <m:sSubSup>
          <m:e>
            <m:r>
              <m:t xml:space="preserve">C</m:t>
            </m:r>
          </m:e>
          <m:sub>
            <m:r>
              <m:rPr>
                <m:lit/>
                <m:nor/>
              </m:rPr>
              <m:t xml:space="preserve">00</m:t>
            </m:r>
          </m:sub>
          <m:sup>
            <m:r>
              <m:t xml:space="preserve">0</m:t>
            </m:r>
          </m:sup>
        </m:sSubSup>
        <m:r>
          <m:t xml:space="preserve">=</m:t>
        </m:r>
        <m:r>
          <m:t xml:space="preserve">α</m:t>
        </m:r>
        <m:d>
          <m:dPr>
            <m:begChr m:val="["/>
            <m:endChr m:val="]"/>
          </m:dPr>
          <m:e>
            <m:sSubSup>
              <m:e>
                <m:r>
                  <m:rPr>
                    <m:lit/>
                    <m:nor/>
                  </m:rPr>
                  <m:t xml:space="preserve">pC</m:t>
                </m:r>
              </m:e>
              <m:sub>
                <m:r>
                  <m:rPr>
                    <m:lit/>
                    <m:nor/>
                  </m:rPr>
                  <m:t xml:space="preserve">11</m:t>
                </m:r>
              </m:sub>
              <m:sup>
                <m:r>
                  <m:t xml:space="preserve">0</m:t>
                </m:r>
              </m:sup>
            </m:sSubSup>
            <m:r>
              <m:t xml:space="preserve">+</m:t>
            </m:r>
            <m:sSubSup>
              <m:e>
                <m:r>
                  <m:rPr>
                    <m:lit/>
                    <m:nor/>
                  </m:rPr>
                  <m:t xml:space="preserve">qC</m:t>
                </m:r>
              </m:e>
              <m:sub>
                <m:r>
                  <m:rPr>
                    <m:lit/>
                    <m:nor/>
                  </m:rPr>
                  <m:t xml:space="preserve">10</m:t>
                </m:r>
              </m:sub>
              <m:sup>
                <m:r>
                  <m:t xml:space="preserve">0</m:t>
                </m:r>
              </m:sup>
            </m:sSubSup>
          </m:e>
        </m:d>
      </m:oMath>
      <w:r>
        <w:rPr>
          <w:sz w:val="24"/>
        </w:rPr>
        <w:t>.</w:t>
      </w:r>
    </w:p>
    <w:p>
      <w:pPr>
        <w:pStyle w:val="Normal"/>
        <w:numPr>
          <w:ilvl w:val="0"/>
          <w:numId w:val="0"/>
        </w:numPr>
        <w:tabs>
          <w:tab w:val="left" w:pos="720" w:leader="none"/>
          <w:tab w:val="left" w:pos="2880" w:leader="none"/>
        </w:tabs>
        <w:ind w:hanging="0" w:start="0"/>
        <w:jc w:val="both"/>
        <w:rPr>
          <w:sz w:val="24"/>
        </w:rPr>
      </w:pPr>
      <w:r>
        <w:rPr>
          <w:sz w:val="24"/>
        </w:rPr>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b/>
          <w:color w:val="0000FF"/>
          <w:sz w:val="24"/>
        </w:rPr>
      </w:pPr>
      <w:r>
        <w:rPr>
          <w:b/>
          <w:color w:val="0000FF"/>
          <w:sz w:val="24"/>
        </w:rPr>
        <w:t>4.2 Ratchet Options</w:t>
      </w:r>
    </w:p>
    <w:p>
      <w:pPr>
        <w:pStyle w:val="Normal"/>
        <w:numPr>
          <w:ilvl w:val="0"/>
          <w:numId w:val="0"/>
        </w:numPr>
        <w:ind w:hanging="0" w:start="0"/>
        <w:jc w:val="both"/>
        <w:rPr>
          <w:b/>
          <w:color w:val="0000FF"/>
          <w:sz w:val="24"/>
        </w:rPr>
      </w:pPr>
      <w:r>
        <w:rPr>
          <w:b/>
          <w:color w:val="0000FF"/>
          <w:sz w:val="24"/>
        </w:rPr>
      </w:r>
    </w:p>
    <w:p>
      <w:pPr>
        <w:pStyle w:val="Normal"/>
        <w:numPr>
          <w:ilvl w:val="0"/>
          <w:numId w:val="0"/>
        </w:numPr>
        <w:ind w:hanging="0" w:start="0"/>
        <w:jc w:val="both"/>
        <w:rPr/>
      </w:pPr>
      <w:r>
        <w:rPr>
          <w:color w:val="0000FF"/>
          <w:sz w:val="24"/>
        </w:rPr>
        <w:tab/>
        <w:t xml:space="preserve">For a swing ratchet option the daily volume should be in between </w:t>
      </w:r>
      <w:r>
        <w:rPr>
          <w:i/>
          <w:color w:val="0000FF"/>
          <w:sz w:val="24"/>
        </w:rPr>
        <w:t>v</w:t>
      </w:r>
      <w:r>
        <w:rPr>
          <w:color w:val="0000FF"/>
          <w:sz w:val="24"/>
        </w:rPr>
        <w:t xml:space="preserve"> and </w:t>
      </w:r>
      <w:r>
        <w:rPr>
          <w:i/>
          <w:color w:val="0000FF"/>
          <w:sz w:val="24"/>
        </w:rPr>
        <w:t>V</w:t>
      </w:r>
      <w:r>
        <w:rPr>
          <w:color w:val="0000FF"/>
          <w:sz w:val="24"/>
        </w:rPr>
        <w:t xml:space="preserve"> and cannot change by more than </w:t>
      </w:r>
      <w:r>
        <w:rPr>
          <w:i/>
          <w:color w:val="0000FF"/>
          <w:sz w:val="24"/>
        </w:rPr>
        <w:t>w</w:t>
      </w:r>
      <w:r>
        <w:rPr>
          <w:color w:val="0000FF"/>
          <w:sz w:val="24"/>
        </w:rPr>
        <w:t xml:space="preserve"> units from one day to the next. Let </w:t>
      </w:r>
      <w:r>
        <w:rPr>
          <w:color w:val="0000FF"/>
        </w:rPr>
        <w:object w:dxaOrig="1080" w:dyaOrig="20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54pt;height:10pt" filled="f" o:ole="">
            <v:imagedata r:id="rId51" o:title=""/>
          </v:shape>
          <o:OLEObject Type="Embed" ProgID="" ShapeID="ole_rId50" DrawAspect="Content" ObjectID="_1232753462" r:id="rId50"/>
        </w:object>
      </w:r>
      <w:r>
        <w:rPr>
          <w:color w:val="0000FF"/>
          <w:sz w:val="24"/>
        </w:rPr>
        <w:t xml:space="preserve"> so that one can change the daily volume from </w:t>
      </w:r>
      <w:r>
        <w:rPr>
          <w:i/>
          <w:color w:val="0000FF"/>
          <w:sz w:val="24"/>
        </w:rPr>
        <w:t>v</w:t>
      </w:r>
      <w:r>
        <w:rPr>
          <w:color w:val="0000FF"/>
          <w:sz w:val="24"/>
        </w:rPr>
        <w:t xml:space="preserve"> to </w:t>
      </w:r>
      <w:r>
        <w:rPr>
          <w:i/>
          <w:color w:val="0000FF"/>
          <w:sz w:val="24"/>
        </w:rPr>
        <w:t>V</w:t>
      </w:r>
      <w:r>
        <w:rPr>
          <w:color w:val="0000FF"/>
          <w:sz w:val="24"/>
        </w:rPr>
        <w:t xml:space="preserve"> in </w:t>
      </w:r>
      <w:r>
        <w:rPr>
          <w:i/>
          <w:color w:val="0000FF"/>
          <w:sz w:val="24"/>
        </w:rPr>
        <w:t>L</w:t>
      </w:r>
      <w:r>
        <w:rPr>
          <w:color w:val="0000FF"/>
          <w:sz w:val="24"/>
        </w:rPr>
        <w:t xml:space="preserve"> days by increasing it in steps of </w:t>
      </w:r>
      <w:r>
        <w:rPr>
          <w:i/>
          <w:color w:val="0000FF"/>
          <w:sz w:val="24"/>
        </w:rPr>
        <w:t>w</w:t>
      </w:r>
      <w:r>
        <w:rPr>
          <w:color w:val="0000FF"/>
          <w:sz w:val="24"/>
        </w:rPr>
        <w:t xml:space="preserve">. Also, the number of swings, i.e., changes in daily volume, is limited to a maximum of </w:t>
      </w:r>
      <w:r>
        <w:rPr>
          <w:i/>
          <w:color w:val="0000FF"/>
          <w:sz w:val="24"/>
        </w:rPr>
        <w:t>M</w:t>
      </w:r>
      <w:r>
        <w:rPr>
          <w:color w:val="0000FF"/>
          <w:sz w:val="24"/>
        </w:rPr>
        <w:t xml:space="preserve">. Denote by </w:t>
      </w:r>
      <w:r>
        <w:rPr>
          <w:color w:val="0000FF"/>
        </w:rPr>
      </w:r>
      <m:oMath xmlns:m="http://schemas.openxmlformats.org/officeDocument/2006/math">
        <m:sSubSup>
          <m:e>
            <m:r>
              <m:t xml:space="preserve">C</m:t>
            </m:r>
          </m:e>
          <m:sub>
            <m:r>
              <m:rPr>
                <m:lit/>
                <m:nor/>
              </m:rPr>
              <m:t xml:space="preserve">ij</m:t>
            </m:r>
          </m:sub>
          <m:sup>
            <m:r>
              <m:rPr>
                <m:lit/>
                <m:nor/>
              </m:rPr>
              <m:t xml:space="preserve">kl</m:t>
            </m:r>
          </m:sup>
        </m:sSubSup>
      </m:oMath>
      <w:r>
        <w:rPr>
          <w:color w:val="0000FF"/>
          <w:sz w:val="24"/>
        </w:rPr>
        <w:t xml:space="preserve"> the value of the option at the node </w:t>
      </w:r>
      <w:r>
        <w:rPr>
          <w:color w:val="0000FF"/>
        </w:rPr>
        <w:object w:dxaOrig="500" w:dyaOrig="2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25pt;height:13pt" filled="f" o:ole="">
            <v:imagedata r:id="rId53" o:title=""/>
          </v:shape>
          <o:OLEObject Type="Embed" ProgID="" ShapeID="ole_rId52" DrawAspect="Content" ObjectID="_1648575478" r:id="rId52"/>
        </w:object>
      </w:r>
      <w:r>
        <w:rPr>
          <w:color w:val="0000FF"/>
          <w:sz w:val="24"/>
        </w:rPr>
        <w:t xml:space="preserve">, i.e., on day </w:t>
      </w:r>
      <w:r>
        <w:rPr>
          <w:i/>
          <w:color w:val="0000FF"/>
          <w:sz w:val="24"/>
        </w:rPr>
        <w:t>i</w:t>
      </w:r>
      <w:r>
        <w:rPr>
          <w:color w:val="0000FF"/>
          <w:sz w:val="24"/>
        </w:rPr>
        <w:t xml:space="preserve"> at price level </w:t>
      </w:r>
      <w:r>
        <w:rPr>
          <w:color w:val="0000FF"/>
        </w:rPr>
      </w:r>
      <m:oMath xmlns:m="http://schemas.openxmlformats.org/officeDocument/2006/math">
        <m:sSup>
          <m:e>
            <m:r>
              <m:rPr>
                <m:lit/>
                <m:nor/>
              </m:rPr>
              <m:t xml:space="preserve">Fu</m:t>
            </m:r>
          </m:e>
          <m:sup>
            <m:r>
              <m:t xml:space="preserve">j</m:t>
            </m:r>
          </m:sup>
        </m:sSup>
        <m:sSup>
          <m:e>
            <m:r>
              <m:t xml:space="preserve">d</m:t>
            </m:r>
          </m:e>
          <m:sup>
            <m:r>
              <m:t xml:space="preserve">i</m:t>
            </m:r>
            <m:r>
              <m:t xml:space="preserve">−</m:t>
            </m:r>
            <m:r>
              <m:t xml:space="preserve">j</m:t>
            </m:r>
          </m:sup>
        </m:sSup>
      </m:oMath>
      <w:r>
        <w:rPr>
          <w:color w:val="0000FF"/>
          <w:sz w:val="24"/>
        </w:rPr>
        <w:t xml:space="preserve">, given that the volume purchased on day </w:t>
      </w:r>
      <w:r>
        <w:rPr>
          <w:color w:val="0000FF"/>
        </w:rPr>
      </w:r>
      <m:oMath xmlns:m="http://schemas.openxmlformats.org/officeDocument/2006/math">
        <m:r>
          <m:t xml:space="preserve">i</m:t>
        </m:r>
        <m:r>
          <m:t xml:space="preserve">−</m:t>
        </m:r>
        <m:r>
          <m:t xml:space="preserve">1</m:t>
        </m:r>
      </m:oMath>
      <w:r>
        <w:rPr>
          <w:color w:val="0000FF"/>
          <w:sz w:val="24"/>
        </w:rPr>
        <w:t xml:space="preserve"> is </w:t>
      </w:r>
      <w:r>
        <w:rPr>
          <w:color w:val="0000FF"/>
        </w:rPr>
        <w:object w:dxaOrig="62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1pt;height:16pt" filled="f" o:ole="">
            <v:imagedata r:id="rId55" o:title=""/>
          </v:shape>
          <o:OLEObject Type="Embed" ProgID="" ShapeID="ole_rId54" DrawAspect="Content" ObjectID="_149003663" r:id="rId54"/>
        </w:object>
      </w:r>
      <w:r>
        <w:rPr>
          <w:color w:val="0000FF"/>
          <w:sz w:val="24"/>
        </w:rPr>
        <w:t xml:space="preserve"> </w:t>
      </w:r>
      <w:r>
        <w:rPr>
          <w:color w:val="0000FF"/>
        </w:rPr>
        <w:object w:dxaOrig="639" w:dyaOrig="27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31.95pt;height:13.95pt" filled="f" o:ole="">
            <v:imagedata r:id="rId57" o:title=""/>
          </v:shape>
          <o:OLEObject Type="Embed" ProgID="" ShapeID="ole_rId56" DrawAspect="Content" ObjectID="_1323416858" r:id="rId56"/>
        </w:object>
      </w:r>
      <w:r>
        <w:rPr>
          <w:color w:val="0000FF"/>
          <w:sz w:val="24"/>
        </w:rPr>
        <w:t xml:space="preserve"> and</w:t>
      </w:r>
      <w:r>
        <w:rPr>
          <w:i/>
          <w:color w:val="0000FF"/>
          <w:sz w:val="24"/>
        </w:rPr>
        <w:t xml:space="preserve"> k</w:t>
      </w:r>
      <w:r>
        <w:rPr>
          <w:color w:val="0000FF"/>
          <w:sz w:val="24"/>
        </w:rPr>
        <w:t xml:space="preserve"> of the </w:t>
      </w:r>
      <w:r>
        <w:rPr>
          <w:i/>
          <w:color w:val="0000FF"/>
          <w:sz w:val="24"/>
        </w:rPr>
        <w:t xml:space="preserve">M </w:t>
      </w:r>
      <w:r>
        <w:rPr>
          <w:color w:val="0000FF"/>
          <w:sz w:val="24"/>
        </w:rPr>
        <w:t>swings have been used (</w:t>
      </w:r>
      <w:r>
        <w:rPr>
          <w:color w:val="0000FF"/>
        </w:rPr>
        <w:object w:dxaOrig="1320" w:dyaOrig="2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66pt;height:13pt" filled="f" o:ole="">
            <v:imagedata r:id="rId59" o:title=""/>
          </v:shape>
          <o:OLEObject Type="Embed" ProgID="" ShapeID="ole_rId58" DrawAspect="Content" ObjectID="_2100294590" r:id="rId58"/>
        </w:object>
      </w:r>
      <w:r>
        <w:rPr>
          <w:color w:val="0000FF"/>
          <w:sz w:val="24"/>
        </w:rPr>
        <w:t xml:space="preserve"> </w:t>
      </w:r>
      <w:r>
        <w:rPr>
          <w:color w:val="0000FF"/>
        </w:rPr>
        <w:object w:dxaOrig="1120" w:dyaOrig="3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56pt;height:16pt" filled="f" o:ole="">
            <v:imagedata r:id="rId61" o:title=""/>
          </v:shape>
          <o:OLEObject Type="Embed" ProgID="" ShapeID="ole_rId60" DrawAspect="Content" ObjectID="_1391729556" r:id="rId60"/>
        </w:object>
      </w:r>
      <w:r>
        <w:rPr>
          <w:color w:val="0000FF"/>
          <w:sz w:val="24"/>
        </w:rPr>
        <w:t xml:space="preserve"> </w:t>
      </w:r>
      <w:r>
        <w:rPr>
          <w:color w:val="0000FF"/>
        </w:rPr>
        <w:object w:dxaOrig="860" w:dyaOrig="2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43pt;height:11pt" filled="f" o:ole="">
            <v:imagedata r:id="rId63" o:title=""/>
          </v:shape>
          <o:OLEObject Type="Embed" ProgID="" ShapeID="ole_rId62" DrawAspect="Content" ObjectID="_1459098442" r:id="rId62"/>
        </w:object>
      </w:r>
      <w:r>
        <w:rPr>
          <w:color w:val="0000FF"/>
          <w:sz w:val="24"/>
        </w:rPr>
        <w:t xml:space="preserve">). The complete set of equations for computing </w:t>
      </w:r>
      <w:r>
        <w:rPr>
          <w:color w:val="0000FF"/>
        </w:rPr>
      </w:r>
      <m:oMath xmlns:m="http://schemas.openxmlformats.org/officeDocument/2006/math">
        <m:sSubSup>
          <m:e>
            <m:r>
              <m:t xml:space="preserve">C</m:t>
            </m:r>
          </m:e>
          <m:sub>
            <m:r>
              <m:rPr>
                <m:lit/>
                <m:nor/>
              </m:rPr>
              <m:t xml:space="preserve">ij</m:t>
            </m:r>
          </m:sub>
          <m:sup>
            <m:r>
              <m:rPr>
                <m:lit/>
                <m:nor/>
              </m:rPr>
              <m:t xml:space="preserve">kl</m:t>
            </m:r>
          </m:sup>
        </m:sSubSup>
      </m:oMath>
      <w:r>
        <w:rPr>
          <w:color w:val="0000FF"/>
          <w:sz w:val="24"/>
        </w:rPr>
        <w:t xml:space="preserve"> are given below. Let </w:t>
      </w:r>
      <w:r>
        <w:rPr>
          <w:color w:val="0000FF"/>
        </w:rPr>
        <w:object w:dxaOrig="173" w:dyaOrig="2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8.65pt;height:14pt" filled="f" o:ole="">
            <v:imagedata r:id="rId65" o:title=""/>
          </v:shape>
          <o:OLEObject Type="Embed" ProgID="" ShapeID="ole_rId64" DrawAspect="Content" ObjectID="_994398989" r:id="rId64"/>
        </w:object>
      </w:r>
      <w:r>
        <w:rPr>
          <w:color w:val="0000FF"/>
          <w:sz w:val="24"/>
        </w:rPr>
        <w:t xml:space="preserve"> be 1 if the swing option is a call option and </w:t>
      </w:r>
      <w:r>
        <w:rPr>
          <w:color w:val="0000FF"/>
        </w:rPr>
        <w:object w:dxaOrig="260" w:dyaOrig="2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3pt;height:10pt" filled="f" o:ole="">
            <v:imagedata r:id="rId67" o:title=""/>
          </v:shape>
          <o:OLEObject Type="Embed" ProgID="" ShapeID="ole_rId66" DrawAspect="Content" ObjectID="_251412779" r:id="rId66"/>
        </w:object>
      </w:r>
      <w:r>
        <w:rPr>
          <w:color w:val="0000FF"/>
          <w:sz w:val="24"/>
        </w:rPr>
        <w:t xml:space="preserve"> if it is a put option. </w:t>
      </w:r>
    </w:p>
    <w:p>
      <w:pPr>
        <w:pStyle w:val="Normal"/>
        <w:numPr>
          <w:ilvl w:val="0"/>
          <w:numId w:val="0"/>
        </w:numPr>
        <w:ind w:hanging="0" w:start="0"/>
        <w:jc w:val="both"/>
        <w:rPr>
          <w:b/>
          <w:color w:val="0000FF"/>
          <w:sz w:val="24"/>
        </w:rPr>
      </w:pPr>
      <w:r>
        <w:rPr>
          <w:b/>
          <w:color w:val="0000FF"/>
          <w:sz w:val="24"/>
        </w:rPr>
      </w:r>
    </w:p>
    <w:p>
      <w:pPr>
        <w:pStyle w:val="Normal"/>
        <w:numPr>
          <w:ilvl w:val="0"/>
          <w:numId w:val="0"/>
        </w:numPr>
        <w:ind w:hanging="0" w:start="0"/>
        <w:jc w:val="both"/>
        <w:rPr>
          <w:b/>
          <w:color w:val="0000FF"/>
          <w:sz w:val="24"/>
        </w:rPr>
      </w:pPr>
      <w:r>
        <w:rPr>
          <w:b/>
          <w:color w:val="0000FF"/>
          <w:sz w:val="24"/>
        </w:rPr>
        <w:t>Valuation Procedure for Swing Ratchet Options</w:t>
      </w:r>
    </w:p>
    <w:p>
      <w:pPr>
        <w:pStyle w:val="Normal"/>
        <w:numPr>
          <w:ilvl w:val="0"/>
          <w:numId w:val="0"/>
        </w:numPr>
        <w:ind w:hanging="0" w:start="0"/>
        <w:jc w:val="both"/>
        <w:rPr>
          <w:b/>
          <w:color w:val="0000FF"/>
          <w:sz w:val="24"/>
        </w:rPr>
      </w:pPr>
      <w:r>
        <w:rPr>
          <w:b/>
          <w:color w:val="0000FF"/>
          <w:sz w:val="24"/>
        </w:rPr>
      </w:r>
    </w:p>
    <w:p>
      <w:pPr>
        <w:pStyle w:val="Normal"/>
        <w:numPr>
          <w:ilvl w:val="0"/>
          <w:numId w:val="0"/>
        </w:numPr>
        <w:ind w:hanging="0" w:start="0"/>
        <w:jc w:val="both"/>
        <w:rPr/>
      </w:pPr>
      <w:r>
        <w:rPr>
          <w:i/>
          <w:color w:val="0000FF"/>
          <w:sz w:val="24"/>
        </w:rPr>
        <w:t>Initialization</w:t>
      </w:r>
      <w:r>
        <w:rPr>
          <w:color w:val="0000FF"/>
          <w:sz w:val="24"/>
        </w:rPr>
        <w:t xml:space="preserve">. We set the value of </w:t>
      </w:r>
      <w:r>
        <w:rPr>
          <w:color w:val="0000FF"/>
        </w:rPr>
      </w:r>
      <m:oMath xmlns:m="http://schemas.openxmlformats.org/officeDocument/2006/math">
        <m:sSubSup>
          <m:e>
            <m:r>
              <m:t xml:space="preserve">C</m:t>
            </m:r>
          </m:e>
          <m:sub>
            <m:r>
              <m:rPr>
                <m:lit/>
                <m:nor/>
              </m:rPr>
              <m:t xml:space="preserve">ij</m:t>
            </m:r>
          </m:sub>
          <m:sup>
            <m:r>
              <m:rPr>
                <m:lit/>
                <m:nor/>
              </m:rPr>
              <m:t xml:space="preserve">kl</m:t>
            </m:r>
          </m:sup>
        </m:sSubSup>
      </m:oMath>
      <w:r>
        <w:rPr>
          <w:color w:val="0000FF"/>
          <w:sz w:val="24"/>
        </w:rPr>
        <w:t xml:space="preserve"> to negative infinity for </w:t>
      </w:r>
      <w:r>
        <w:rPr>
          <w:color w:val="0000FF"/>
        </w:rPr>
      </w:r>
      <m:oMath xmlns:m="http://schemas.openxmlformats.org/officeDocument/2006/math">
        <m:r>
          <m:t xml:space="preserve">k</m:t>
        </m:r>
        <m:r>
          <m:t xml:space="preserve">=</m:t>
        </m:r>
        <m:r>
          <m:t xml:space="preserve">M</m:t>
        </m:r>
        <m:r>
          <m:t xml:space="preserve">+</m:t>
        </m:r>
        <m:r>
          <m:t xml:space="preserve">1</m:t>
        </m:r>
      </m:oMath>
      <w:r>
        <w:rPr>
          <w:color w:val="0000FF"/>
          <w:sz w:val="24"/>
        </w:rPr>
        <w:t xml:space="preserve"> (since the number of swings is limited to </w:t>
      </w:r>
      <w:r>
        <w:rPr>
          <w:i/>
          <w:color w:val="0000FF"/>
          <w:sz w:val="24"/>
        </w:rPr>
        <w:t>M</w:t>
      </w:r>
      <w:r>
        <w:rPr>
          <w:color w:val="0000FF"/>
          <w:sz w:val="24"/>
        </w:rPr>
        <w:t xml:space="preserve">) for all values of i, j and l, and we set </w:t>
      </w:r>
      <w:r>
        <w:rPr>
          <w:color w:val="0000FF"/>
        </w:rPr>
      </w:r>
      <m:oMath xmlns:m="http://schemas.openxmlformats.org/officeDocument/2006/math">
        <m:sSubSup>
          <m:e>
            <m:r>
              <m:t xml:space="preserve">C</m:t>
            </m:r>
          </m:e>
          <m:sub>
            <m:r>
              <m:rPr>
                <m:lit/>
                <m:nor/>
              </m:rPr>
              <m:t xml:space="preserve">ij</m:t>
            </m:r>
          </m:sub>
          <m:sup>
            <m:r>
              <m:rPr>
                <m:lit/>
                <m:nor/>
              </m:rPr>
              <m:t xml:space="preserve">kl</m:t>
            </m:r>
          </m:sup>
        </m:sSubSup>
      </m:oMath>
      <w:r>
        <w:rPr>
          <w:color w:val="0000FF"/>
          <w:sz w:val="24"/>
        </w:rPr>
        <w:t xml:space="preserve"> to zero for other values of k, </w:t>
      </w:r>
      <w:r>
        <w:rPr>
          <w:i/>
          <w:color w:val="0000FF"/>
          <w:sz w:val="24"/>
        </w:rPr>
        <w:t>j</w:t>
      </w:r>
      <w:r>
        <w:rPr>
          <w:color w:val="0000FF"/>
          <w:sz w:val="24"/>
        </w:rPr>
        <w:t xml:space="preserve">, and </w:t>
      </w:r>
      <w:r>
        <w:rPr>
          <w:i/>
          <w:color w:val="0000FF"/>
          <w:sz w:val="24"/>
        </w:rPr>
        <w:t xml:space="preserve">l </w:t>
      </w:r>
      <w:r>
        <w:rPr>
          <w:color w:val="0000FF"/>
          <w:sz w:val="24"/>
        </w:rPr>
        <w:t xml:space="preserve"> at the terminal time step of the tree i = N+1.</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color w:val="0000FF"/>
          <w:sz w:val="24"/>
        </w:rPr>
        <w:tab/>
        <w:t xml:space="preserve">For </w:t>
      </w:r>
      <w:r>
        <w:rPr>
          <w:color w:val="0000FF"/>
        </w:rPr>
        <w:object w:dxaOrig="3820" w:dyaOrig="3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91pt;height:16pt" filled="f" o:ole="">
            <v:imagedata r:id="rId69" o:title=""/>
          </v:shape>
          <o:OLEObject Type="Embed" ProgID="" ShapeID="ole_rId68" DrawAspect="Content" ObjectID="_1063692850" r:id="rId68"/>
        </w:object>
      </w:r>
      <w:r>
        <w:rPr>
          <w:color w:val="0000FF"/>
          <w:sz w:val="24"/>
        </w:rPr>
        <w:t>:</w:t>
      </w:r>
    </w:p>
    <w:p>
      <w:pPr>
        <w:pStyle w:val="Normal"/>
        <w:numPr>
          <w:ilvl w:val="0"/>
          <w:numId w:val="0"/>
        </w:numPr>
        <w:ind w:hanging="0" w:start="0"/>
        <w:jc w:val="both"/>
        <w:rPr>
          <w:color w:val="0000FF"/>
          <w:sz w:val="24"/>
        </w:rPr>
      </w:pPr>
      <w:r>
        <w:rPr>
          <w:color w:val="0000FF"/>
          <w:sz w:val="24"/>
        </w:rPr>
      </w:r>
    </w:p>
    <w:p>
      <w:pPr>
        <w:pStyle w:val="Normal"/>
        <w:numPr>
          <w:ilvl w:val="0"/>
          <w:numId w:val="0"/>
        </w:numPr>
        <w:tabs>
          <w:tab w:val="left" w:pos="720" w:leader="none"/>
          <w:tab w:val="left" w:pos="3600" w:leader="none"/>
        </w:tabs>
        <w:ind w:hanging="0" w:start="0"/>
        <w:jc w:val="both"/>
        <w:rPr/>
      </w:pPr>
      <w:r>
        <w:rPr>
          <w:color w:val="0000FF"/>
          <w:sz w:val="24"/>
        </w:rPr>
        <w:tab/>
        <w:tab/>
      </w:r>
      <w:r>
        <w:rPr>
          <w:color w:val="0000FF"/>
        </w:rPr>
      </w:r>
      <m:oMath xmlns:m="http://schemas.openxmlformats.org/officeDocument/2006/math">
        <m:sSubSup>
          <m:e>
            <m:r>
              <m:t xml:space="preserve">C</m:t>
            </m:r>
          </m:e>
          <m:sub>
            <m:r>
              <m:t xml:space="preserve">N</m:t>
            </m:r>
            <m:r>
              <m:t xml:space="preserve">+</m:t>
            </m:r>
            <m:r>
              <m:t xml:space="preserve">1</m:t>
            </m:r>
            <m:r>
              <m:t xml:space="preserve">,</m:t>
            </m:r>
            <m:r>
              <m:t xml:space="preserve">j</m:t>
            </m:r>
          </m:sub>
          <m:sup>
            <m:r>
              <m:rPr>
                <m:lit/>
                <m:nor/>
              </m:rPr>
              <m:t xml:space="preserve">kl</m:t>
            </m:r>
          </m:sup>
        </m:sSubSup>
        <m:r>
          <m:rPr>
            <m:lit/>
            <m:nor/>
          </m:rPr>
          <m:t xml:space="preserve">=0</m:t>
        </m:r>
      </m:oMath>
      <w:r>
        <w:rPr>
          <w:color w:val="0000FF"/>
          <w:sz w:val="24"/>
        </w:rPr>
        <w:t>.</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color w:val="0000FF"/>
          <w:sz w:val="24"/>
        </w:rPr>
        <w:tab/>
        <w:t xml:space="preserve">For </w:t>
      </w:r>
      <w:r>
        <w:rPr>
          <w:color w:val="0000FF"/>
        </w:rPr>
        <w:object w:dxaOrig="3620" w:dyaOrig="27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81pt;height:14pt" filled="f" o:ole="">
            <v:imagedata r:id="rId71" o:title=""/>
          </v:shape>
          <o:OLEObject Type="Embed" ProgID="" ShapeID="ole_rId70" DrawAspect="Content" ObjectID="_1302746441" r:id="rId70"/>
        </w:object>
      </w:r>
      <w:r>
        <w:rPr>
          <w:color w:val="0000FF"/>
          <w:sz w:val="24"/>
        </w:rPr>
        <w:t>:</w:t>
      </w:r>
    </w:p>
    <w:p>
      <w:pPr>
        <w:pStyle w:val="Normal"/>
        <w:numPr>
          <w:ilvl w:val="0"/>
          <w:numId w:val="0"/>
        </w:numPr>
        <w:ind w:hanging="0" w:start="0"/>
        <w:jc w:val="both"/>
        <w:rPr>
          <w:color w:val="0000FF"/>
          <w:sz w:val="24"/>
        </w:rPr>
      </w:pPr>
      <w:r>
        <w:rPr>
          <w:color w:val="0000FF"/>
          <w:sz w:val="24"/>
        </w:rPr>
      </w:r>
    </w:p>
    <w:p>
      <w:pPr>
        <w:pStyle w:val="Normal"/>
        <w:numPr>
          <w:ilvl w:val="0"/>
          <w:numId w:val="0"/>
        </w:numPr>
        <w:tabs>
          <w:tab w:val="left" w:pos="720" w:leader="none"/>
          <w:tab w:val="left" w:pos="3600" w:leader="none"/>
        </w:tabs>
        <w:ind w:hanging="0" w:start="0"/>
        <w:jc w:val="both"/>
        <w:rPr/>
      </w:pPr>
      <w:r>
        <w:rPr>
          <w:color w:val="0000FF"/>
          <w:sz w:val="24"/>
        </w:rPr>
        <w:tab/>
        <w:tab/>
      </w:r>
      <w:r>
        <w:rPr>
          <w:color w:val="0000FF"/>
        </w:rPr>
      </w:r>
      <m:oMath xmlns:m="http://schemas.openxmlformats.org/officeDocument/2006/math">
        <m:sSubSup>
          <m:e>
            <m:r>
              <m:t xml:space="preserve">C</m:t>
            </m:r>
          </m:e>
          <m:sub>
            <m:r>
              <m:t xml:space="preserve">i</m:t>
            </m:r>
            <m:r>
              <m:t xml:space="preserve">,</m:t>
            </m:r>
            <m:r>
              <m:t xml:space="preserve">j</m:t>
            </m:r>
          </m:sub>
          <m:sup>
            <m:r>
              <m:t xml:space="preserve">K</m:t>
            </m:r>
            <m:r>
              <m:t xml:space="preserve">+</m:t>
            </m:r>
            <m:r>
              <m:t xml:space="preserve">1</m:t>
            </m:r>
            <m:r>
              <m:t xml:space="preserve">,</m:t>
            </m:r>
            <m:r>
              <m:t xml:space="preserve">l</m:t>
            </m:r>
          </m:sup>
        </m:sSubSup>
        <m:r>
          <m:rPr>
            <m:lit/>
            <m:nor/>
          </m:rPr>
          <m:t xml:space="preserve">=-</m:t>
        </m:r>
        <m:r>
          <m:t xml:space="preserve">∞</m:t>
        </m:r>
      </m:oMath>
      <w:r>
        <w:rPr>
          <w:color w:val="0000FF"/>
          <w:sz w:val="24"/>
        </w:rPr>
        <w:t>.</w:t>
      </w:r>
    </w:p>
    <w:p>
      <w:pPr>
        <w:pStyle w:val="Normal"/>
        <w:numPr>
          <w:ilvl w:val="0"/>
          <w:numId w:val="0"/>
        </w:numPr>
        <w:tabs>
          <w:tab w:val="left" w:pos="720" w:leader="none"/>
          <w:tab w:val="left" w:pos="2880" w:leader="none"/>
        </w:tabs>
        <w:ind w:hanging="0" w:start="0"/>
        <w:jc w:val="both"/>
        <w:rPr>
          <w:color w:val="0000FF"/>
          <w:sz w:val="24"/>
        </w:rPr>
      </w:pPr>
      <w:r>
        <w:rPr>
          <w:color w:val="0000FF"/>
          <w:sz w:val="24"/>
        </w:rPr>
      </w:r>
    </w:p>
    <w:p>
      <w:pPr>
        <w:pStyle w:val="Normal"/>
        <w:numPr>
          <w:ilvl w:val="0"/>
          <w:numId w:val="0"/>
        </w:numPr>
        <w:tabs>
          <w:tab w:val="left" w:pos="720" w:leader="none"/>
          <w:tab w:val="left" w:pos="1440" w:leader="none"/>
          <w:tab w:val="left" w:pos="2160" w:leader="none"/>
        </w:tabs>
        <w:ind w:hanging="0" w:start="0"/>
        <w:jc w:val="both"/>
        <w:rPr/>
      </w:pPr>
      <w:r>
        <w:rPr>
          <w:i/>
          <w:color w:val="0000FF"/>
          <w:sz w:val="24"/>
        </w:rPr>
        <w:t>Iteration</w:t>
      </w:r>
      <w:r>
        <w:rPr>
          <w:color w:val="0000FF"/>
          <w:sz w:val="24"/>
        </w:rPr>
        <w:t xml:space="preserve">. At node </w:t>
      </w:r>
      <w:r>
        <w:rPr>
          <w:color w:val="0000FF"/>
        </w:rPr>
        <w:object w:dxaOrig="500" w:dyaOrig="26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25pt;height:13pt" filled="f" o:ole="">
            <v:imagedata r:id="rId73" o:title=""/>
          </v:shape>
          <o:OLEObject Type="Embed" ProgID="" ShapeID="ole_rId72" DrawAspect="Content" ObjectID="_2047032053" r:id="rId72"/>
        </w:object>
      </w:r>
      <w:r>
        <w:rPr>
          <w:color w:val="0000FF"/>
          <w:sz w:val="24"/>
        </w:rPr>
        <w:t xml:space="preserve">, there are, in general, three choices for the holder of the option: to increase the daily volume by </w:t>
      </w:r>
      <w:r>
        <w:rPr>
          <w:i/>
          <w:color w:val="0000FF"/>
          <w:sz w:val="24"/>
        </w:rPr>
        <w:t>w</w:t>
      </w:r>
      <w:r>
        <w:rPr>
          <w:color w:val="0000FF"/>
          <w:sz w:val="24"/>
        </w:rPr>
        <w:t xml:space="preserve">, to keep the daily volume unchanged, or to decrease the daily volume by </w:t>
      </w:r>
      <w:r>
        <w:rPr>
          <w:i/>
          <w:color w:val="0000FF"/>
          <w:sz w:val="24"/>
        </w:rPr>
        <w:t>w</w:t>
      </w:r>
      <w:r>
        <w:rPr>
          <w:color w:val="0000FF"/>
          <w:sz w:val="24"/>
        </w:rPr>
        <w:t xml:space="preserve">. Thus </w:t>
      </w:r>
      <w:r>
        <w:rPr>
          <w:color w:val="0000FF"/>
        </w:rPr>
      </w:r>
      <m:oMath xmlns:m="http://schemas.openxmlformats.org/officeDocument/2006/math">
        <m:sSubSup>
          <m:e>
            <m:r>
              <m:t xml:space="preserve">C</m:t>
            </m:r>
          </m:e>
          <m:sub>
            <m:r>
              <m:rPr>
                <m:lit/>
                <m:nor/>
              </m:rPr>
              <m:t xml:space="preserve">ij</m:t>
            </m:r>
          </m:sub>
          <m:sup>
            <m:r>
              <m:rPr>
                <m:lit/>
                <m:nor/>
              </m:rPr>
              <m:t xml:space="preserve">kl</m:t>
            </m:r>
          </m:sup>
        </m:sSubSup>
      </m:oMath>
      <w:r>
        <w:rPr>
          <w:color w:val="0000FF"/>
          <w:sz w:val="24"/>
        </w:rPr>
        <w:t xml:space="preserve"> can be written as the maximum of three terms corresponding to option values using these three choices.</w:t>
      </w:r>
    </w:p>
    <w:p>
      <w:pPr>
        <w:pStyle w:val="Normal"/>
        <w:numPr>
          <w:ilvl w:val="0"/>
          <w:numId w:val="0"/>
        </w:numPr>
        <w:ind w:hanging="0" w:start="0"/>
        <w:jc w:val="both"/>
        <w:rPr>
          <w:color w:val="0000FF"/>
          <w:sz w:val="24"/>
        </w:rPr>
      </w:pPr>
      <w:r>
        <w:rPr>
          <w:color w:val="0000FF"/>
          <w:sz w:val="24"/>
        </w:rPr>
      </w:r>
    </w:p>
    <w:p>
      <w:pPr>
        <w:pStyle w:val="Normal"/>
        <w:numPr>
          <w:ilvl w:val="0"/>
          <w:numId w:val="0"/>
        </w:numPr>
        <w:tabs>
          <w:tab w:val="left" w:pos="720" w:leader="none"/>
          <w:tab w:val="left" w:pos="1440" w:leader="none"/>
          <w:tab w:val="left" w:pos="2160" w:leader="none"/>
        </w:tabs>
        <w:ind w:hanging="0" w:start="0"/>
        <w:jc w:val="both"/>
        <w:rPr>
          <w:sz w:val="24"/>
        </w:rPr>
      </w:pPr>
      <w:r>
        <w:rPr>
          <w:sz w:val="24"/>
        </w:rPr>
        <w:tab/>
        <w:t xml:space="preserve">For </w:t>
      </w:r>
      <w:r>
        <w:rPr/>
        <w:object w:dxaOrig="3400" w:dyaOrig="3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70pt;height:16pt" filled="f" o:ole="">
            <v:imagedata r:id="rId75" o:title=""/>
          </v:shape>
          <o:OLEObject Type="Embed" ProgID="" ShapeID="ole_rId74" DrawAspect="Content" ObjectID="_488864813" r:id="rId74"/>
        </w:object>
      </w:r>
    </w:p>
    <w:p>
      <w:pPr>
        <w:pStyle w:val="Normal"/>
        <w:numPr>
          <w:ilvl w:val="0"/>
          <w:numId w:val="0"/>
        </w:numPr>
        <w:ind w:hanging="0" w:start="0"/>
        <w:jc w:val="both"/>
        <w:rPr>
          <w:sz w:val="24"/>
        </w:rPr>
      </w:pPr>
      <w:r>
        <w:rPr>
          <w:sz w:val="24"/>
        </w:rPr>
      </w:r>
    </w:p>
    <w:p>
      <w:pPr>
        <w:pStyle w:val="Normal"/>
        <w:numPr>
          <w:ilvl w:val="0"/>
          <w:numId w:val="0"/>
        </w:numPr>
        <w:tabs>
          <w:tab w:val="left" w:pos="720" w:leader="none"/>
          <w:tab w:val="left" w:pos="1170" w:leader="none"/>
          <w:tab w:val="left" w:pos="1800" w:leader="none"/>
        </w:tabs>
        <w:ind w:hanging="0" w:start="0"/>
        <w:jc w:val="both"/>
        <w:rPr/>
      </w:pPr>
      <w:r>
        <w:rPr>
          <w:sz w:val="24"/>
        </w:rPr>
        <w:tab/>
        <w:tab/>
        <w:t xml:space="preserve">For </w:t>
      </w:r>
      <w:r>
        <w:rPr/>
        <w:object w:dxaOrig="520" w:dyaOrig="2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26pt;height:11pt" filled="f" o:ole="">
            <v:imagedata r:id="rId77" o:title=""/>
          </v:shape>
          <o:OLEObject Type="Embed" ProgID="" ShapeID="ole_rId76" DrawAspect="Content" ObjectID="_423732941" r:id="rId76"/>
        </w:object>
      </w:r>
      <w:r>
        <w:rPr>
          <w:sz w:val="24"/>
        </w:rPr>
        <w:t>:</w:t>
      </w:r>
    </w:p>
    <w:p>
      <w:pPr>
        <w:pStyle w:val="Normal"/>
        <w:numPr>
          <w:ilvl w:val="0"/>
          <w:numId w:val="0"/>
        </w:numPr>
        <w:ind w:hanging="0" w:start="0"/>
        <w:jc w:val="both"/>
        <w:rPr>
          <w:sz w:val="24"/>
        </w:rPr>
      </w:pPr>
      <w:r>
        <w:rPr>
          <w:sz w:val="24"/>
        </w:rPr>
      </w:r>
    </w:p>
    <w:p>
      <w:pPr>
        <w:pStyle w:val="Normal"/>
        <w:numPr>
          <w:ilvl w:val="0"/>
          <w:numId w:val="0"/>
        </w:numPr>
        <w:tabs>
          <w:tab w:val="left" w:pos="720" w:leader="none"/>
          <w:tab w:val="left" w:pos="1170" w:leader="none"/>
          <w:tab w:val="left" w:pos="1800" w:leader="none"/>
        </w:tabs>
        <w:ind w:hanging="0" w:start="0"/>
        <w:jc w:val="both"/>
        <w:rPr>
          <w:sz w:val="24"/>
        </w:rPr>
      </w:pPr>
      <w:r>
        <w:rPr>
          <w:sz w:val="24"/>
        </w:rPr>
        <w:tab/>
        <w:tab/>
        <w:tab/>
      </w:r>
      <w:r>
        <w:rPr/>
      </w:r>
      <m:oMath xmlns:m="http://schemas.openxmlformats.org/officeDocument/2006/math">
        <m:sSubSup>
          <m:e>
            <m:r>
              <m:t xml:space="preserve">C</m:t>
            </m:r>
          </m:e>
          <m:sub>
            <m:r>
              <m:rPr>
                <m:lit/>
                <m:nor/>
              </m:rPr>
              <m:t xml:space="preserve">ij</m:t>
            </m:r>
          </m:sub>
          <m:sup>
            <m:r>
              <m:rPr>
                <m:lit/>
                <m:nor/>
              </m:rPr>
              <m:t xml:space="preserve">kl</m:t>
            </m:r>
          </m:sup>
        </m:sSubSup>
        <m:r>
          <m:t xml:space="preserve">=</m:t>
        </m:r>
        <m:r>
          <m:rPr>
            <m:lit/>
            <m:nor/>
          </m:rPr>
          <m:t xml:space="preserve">max</m:t>
        </m:r>
        <m:d>
          <m:dPr>
            <m:begChr m:val="{"/>
            <m:endChr m:val=""/>
          </m:dPr>
          <m:e>
            <m:m>
              <m:mr>
                <m:e>
                  <m:r>
                    <m:t xml:space="preserve">(</m:t>
                  </m:r>
                  <m:sSup>
                    <m:e>
                      <m:r>
                        <m:rPr>
                          <m:lit/>
                          <m:nor/>
                        </m:rPr>
                        <m:t xml:space="preserve">Fu</m:t>
                      </m:r>
                    </m:e>
                    <m:sup>
                      <m:r>
                        <m:t xml:space="preserve">j</m:t>
                      </m:r>
                    </m:sup>
                  </m:sSup>
                  <m:sSup>
                    <m:e>
                      <m:r>
                        <m:t xml:space="preserve">d</m:t>
                      </m:r>
                    </m:e>
                    <m:sup>
                      <m:r>
                        <m:t xml:space="preserve">i</m:t>
                      </m:r>
                      <m:r>
                        <m:t xml:space="preserve">−</m:t>
                      </m:r>
                      <m:r>
                        <m:t xml:space="preserve">j</m:t>
                      </m:r>
                    </m:sup>
                  </m:sSup>
                  <m:r>
                    <m:t xml:space="preserve">−</m:t>
                  </m:r>
                  <m:r>
                    <m:t xml:space="preserve">K</m:t>
                  </m:r>
                  <m:r>
                    <m:t xml:space="preserve">)</m:t>
                  </m:r>
                  <m:r>
                    <m:t xml:space="preserve">φv</m:t>
                  </m:r>
                  <m:r>
                    <m:t xml:space="preserve">(</m:t>
                  </m:r>
                  <m:r>
                    <m:t xml:space="preserve">l</m:t>
                  </m:r>
                  <m:r>
                    <m:t xml:space="preserve">)</m:t>
                  </m:r>
                  <m:r>
                    <m:t xml:space="preserve">+</m:t>
                  </m:r>
                  <m:r>
                    <m:t xml:space="preserve">α</m:t>
                  </m:r>
                  <m:d>
                    <m:dPr>
                      <m:begChr m:val="["/>
                      <m:endChr m:val="]"/>
                    </m:dPr>
                    <m:e>
                      <m:sSubSup>
                        <m:e>
                          <m:r>
                            <m:rPr>
                              <m:lit/>
                              <m:nor/>
                            </m:rPr>
                            <m:t xml:space="preserve">pC</m:t>
                          </m:r>
                        </m:e>
                        <m:sub>
                          <m:r>
                            <m:t xml:space="preserve">i</m:t>
                          </m:r>
                          <m:r>
                            <m:t xml:space="preserve">+</m:t>
                          </m:r>
                          <m:r>
                            <m:t xml:space="preserve">1</m:t>
                          </m:r>
                          <m:r>
                            <m:t xml:space="preserve">,</m:t>
                          </m:r>
                          <m:r>
                            <m:t xml:space="preserve">j</m:t>
                          </m:r>
                          <m:r>
                            <m:t xml:space="preserve">+</m:t>
                          </m:r>
                          <m:r>
                            <m:t xml:space="preserve">1</m:t>
                          </m:r>
                        </m:sub>
                        <m:sup>
                          <m:r>
                            <m:rPr>
                              <m:lit/>
                              <m:nor/>
                            </m:rPr>
                            <m:t xml:space="preserve">kl</m:t>
                          </m:r>
                        </m:sup>
                      </m:sSubSup>
                      <m:r>
                        <m:t xml:space="preserve">+</m:t>
                      </m:r>
                      <m:sSubSup>
                        <m:e>
                          <m:r>
                            <m:rPr>
                              <m:lit/>
                              <m:nor/>
                            </m:rPr>
                            <m:t xml:space="preserve">qC</m:t>
                          </m:r>
                        </m:e>
                        <m:sub>
                          <m:r>
                            <m:t xml:space="preserve">i</m:t>
                          </m:r>
                          <m:r>
                            <m:t xml:space="preserve">+</m:t>
                          </m:r>
                          <m:r>
                            <m:t xml:space="preserve">1</m:t>
                          </m:r>
                          <m:r>
                            <m:t xml:space="preserve">,</m:t>
                          </m:r>
                          <m:r>
                            <m:t xml:space="preserve">j</m:t>
                          </m:r>
                        </m:sub>
                        <m:sup>
                          <m:r>
                            <m:rPr>
                              <m:lit/>
                              <m:nor/>
                            </m:rPr>
                            <m:t xml:space="preserve">kl</m:t>
                          </m:r>
                        </m:sup>
                      </m:sSubSup>
                    </m:e>
                  </m:d>
                </m:e>
              </m:mr>
              <m:mr>
                <m:e>
                  <m:r>
                    <m:t xml:space="preserve">(</m:t>
                  </m:r>
                  <m:sSup>
                    <m:e>
                      <m:r>
                        <m:rPr>
                          <m:lit/>
                          <m:nor/>
                        </m:rPr>
                        <m:t xml:space="preserve">Fu</m:t>
                      </m:r>
                    </m:e>
                    <m:sup>
                      <m:r>
                        <m:t xml:space="preserve">j</m:t>
                      </m:r>
                    </m:sup>
                  </m:sSup>
                  <m:sSup>
                    <m:e>
                      <m:r>
                        <m:t xml:space="preserve">d</m:t>
                      </m:r>
                    </m:e>
                    <m:sup>
                      <m:r>
                        <m:t xml:space="preserve">i</m:t>
                      </m:r>
                      <m:r>
                        <m:t xml:space="preserve">−</m:t>
                      </m:r>
                      <m:r>
                        <m:t xml:space="preserve">j</m:t>
                      </m:r>
                    </m:sup>
                  </m:sSup>
                  <m:r>
                    <m:t xml:space="preserve">−</m:t>
                  </m:r>
                  <m:r>
                    <m:t xml:space="preserve">K</m:t>
                  </m:r>
                  <m:r>
                    <m:t xml:space="preserve">)</m:t>
                  </m:r>
                  <m:r>
                    <m:t xml:space="preserve">φv</m:t>
                  </m:r>
                  <m:r>
                    <m:t xml:space="preserve">(</m:t>
                  </m:r>
                  <m:r>
                    <m:t xml:space="preserve">l</m:t>
                  </m:r>
                  <m:r>
                    <m:t xml:space="preserve">−</m:t>
                  </m:r>
                  <m:r>
                    <m:t xml:space="preserve">1</m:t>
                  </m:r>
                  <m:r>
                    <m:t xml:space="preserve">)</m:t>
                  </m:r>
                  <m:r>
                    <m:t xml:space="preserve">+</m:t>
                  </m:r>
                  <m:r>
                    <m:t xml:space="preserve">α</m:t>
                  </m:r>
                  <m:d>
                    <m:dPr>
                      <m:begChr m:val="["/>
                      <m:endChr m:val="]"/>
                    </m:dPr>
                    <m:e>
                      <m:sSubSup>
                        <m:e>
                          <m:r>
                            <m:rPr>
                              <m:lit/>
                              <m:nor/>
                            </m:rPr>
                            <m:t xml:space="preserve">pC</m:t>
                          </m:r>
                        </m:e>
                        <m:sub>
                          <m:r>
                            <m:t xml:space="preserve">i</m:t>
                          </m:r>
                          <m:r>
                            <m:t xml:space="preserve">+</m:t>
                          </m:r>
                          <m:r>
                            <m:t xml:space="preserve">1</m:t>
                          </m:r>
                          <m:r>
                            <m:t xml:space="preserve">,</m:t>
                          </m:r>
                          <m:r>
                            <m:t xml:space="preserve">j</m:t>
                          </m:r>
                          <m:r>
                            <m:t xml:space="preserve">+</m:t>
                          </m:r>
                          <m:r>
                            <m:t xml:space="preserve">1</m:t>
                          </m:r>
                        </m:sub>
                        <m:sup>
                          <m:r>
                            <m:t xml:space="preserve">k</m:t>
                          </m:r>
                          <m:r>
                            <m:t xml:space="preserve">+</m:t>
                          </m:r>
                          <m:r>
                            <m:t xml:space="preserve">1</m:t>
                          </m:r>
                          <m:r>
                            <m:t xml:space="preserve">,</m:t>
                          </m:r>
                          <m:r>
                            <m:t xml:space="preserve">l</m:t>
                          </m:r>
                          <m:r>
                            <m:t xml:space="preserve">−</m:t>
                          </m:r>
                          <m:r>
                            <m:t xml:space="preserve">1</m:t>
                          </m:r>
                        </m:sup>
                      </m:sSubSup>
                      <m:r>
                        <m:t xml:space="preserve">+</m:t>
                      </m:r>
                      <m:sSubSup>
                        <m:e>
                          <m:r>
                            <m:rPr>
                              <m:lit/>
                              <m:nor/>
                            </m:rPr>
                            <m:t xml:space="preserve">qC</m:t>
                          </m:r>
                        </m:e>
                        <m:sub>
                          <m:r>
                            <m:t xml:space="preserve">i</m:t>
                          </m:r>
                          <m:r>
                            <m:t xml:space="preserve">+</m:t>
                          </m:r>
                          <m:r>
                            <m:t xml:space="preserve">1</m:t>
                          </m:r>
                          <m:r>
                            <m:t xml:space="preserve">,</m:t>
                          </m:r>
                          <m:r>
                            <m:t xml:space="preserve">j</m:t>
                          </m:r>
                        </m:sub>
                        <m:sup>
                          <m:r>
                            <m:t xml:space="preserve">k</m:t>
                          </m:r>
                          <m:r>
                            <m:t xml:space="preserve">+</m:t>
                          </m:r>
                          <m:r>
                            <m:t xml:space="preserve">1</m:t>
                          </m:r>
                          <m:r>
                            <m:t xml:space="preserve">,</m:t>
                          </m:r>
                          <m:r>
                            <m:t xml:space="preserve">l</m:t>
                          </m:r>
                          <m:r>
                            <m:t xml:space="preserve">−</m:t>
                          </m:r>
                          <m:r>
                            <m:t xml:space="preserve">1</m:t>
                          </m:r>
                        </m:sup>
                      </m:sSubSup>
                    </m:e>
                  </m:d>
                </m:e>
              </m:mr>
            </m:m>
          </m:e>
        </m:d>
      </m:oMath>
    </w:p>
    <w:p>
      <w:pPr>
        <w:pStyle w:val="Normal"/>
        <w:numPr>
          <w:ilvl w:val="0"/>
          <w:numId w:val="0"/>
        </w:numPr>
        <w:tabs>
          <w:tab w:val="left" w:pos="720" w:leader="none"/>
          <w:tab w:val="left" w:pos="1170" w:leader="none"/>
          <w:tab w:val="left" w:pos="1800" w:leader="none"/>
        </w:tabs>
        <w:ind w:hanging="0" w:start="0"/>
        <w:jc w:val="both"/>
        <w:rPr>
          <w:sz w:val="24"/>
        </w:rPr>
      </w:pPr>
      <w:r>
        <w:rPr>
          <w:sz w:val="24"/>
        </w:rPr>
      </w:r>
    </w:p>
    <w:p>
      <w:pPr>
        <w:pStyle w:val="Normal"/>
        <w:numPr>
          <w:ilvl w:val="0"/>
          <w:numId w:val="0"/>
        </w:numPr>
        <w:tabs>
          <w:tab w:val="left" w:pos="720" w:leader="none"/>
          <w:tab w:val="left" w:pos="1170" w:leader="none"/>
          <w:tab w:val="left" w:pos="1800" w:leader="none"/>
        </w:tabs>
        <w:ind w:hanging="0" w:start="0"/>
        <w:jc w:val="both"/>
        <w:rPr/>
      </w:pPr>
      <w:r>
        <w:rPr>
          <w:sz w:val="24"/>
        </w:rPr>
        <w:tab/>
        <w:tab/>
        <w:t xml:space="preserve">For </w:t>
      </w:r>
      <w:r>
        <w:rPr/>
        <w:object w:dxaOrig="1300" w:dyaOrig="2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65pt;height:13pt" filled="f" o:ole="">
            <v:imagedata r:id="rId79" o:title=""/>
          </v:shape>
          <o:OLEObject Type="Embed" ProgID="" ShapeID="ole_rId78" DrawAspect="Content" ObjectID="_653941829" r:id="rId78"/>
        </w:object>
      </w:r>
      <w:r>
        <w:rPr>
          <w:sz w:val="24"/>
        </w:rPr>
        <w:t>:</w:t>
      </w:r>
    </w:p>
    <w:p>
      <w:pPr>
        <w:pStyle w:val="Normal"/>
        <w:numPr>
          <w:ilvl w:val="0"/>
          <w:numId w:val="0"/>
        </w:numPr>
        <w:tabs>
          <w:tab w:val="left" w:pos="720" w:leader="none"/>
          <w:tab w:val="left" w:pos="1170" w:leader="none"/>
          <w:tab w:val="left" w:pos="1800" w:leader="none"/>
        </w:tabs>
        <w:ind w:hanging="0" w:start="0"/>
        <w:jc w:val="both"/>
        <w:rPr>
          <w:sz w:val="24"/>
        </w:rPr>
      </w:pPr>
      <w:r>
        <w:rPr>
          <w:sz w:val="24"/>
        </w:rPr>
      </w:r>
    </w:p>
    <w:p>
      <w:pPr>
        <w:pStyle w:val="Normal"/>
        <w:numPr>
          <w:ilvl w:val="0"/>
          <w:numId w:val="0"/>
        </w:numPr>
        <w:tabs>
          <w:tab w:val="left" w:pos="720" w:leader="none"/>
          <w:tab w:val="left" w:pos="1170" w:leader="none"/>
          <w:tab w:val="left" w:pos="1800" w:leader="none"/>
        </w:tabs>
        <w:ind w:hanging="0" w:start="0"/>
        <w:jc w:val="both"/>
        <w:rPr>
          <w:sz w:val="24"/>
        </w:rPr>
      </w:pPr>
      <w:r>
        <w:rPr>
          <w:sz w:val="24"/>
        </w:rPr>
        <w:tab/>
        <w:tab/>
        <w:tab/>
      </w:r>
      <w:r>
        <w:rPr/>
      </w:r>
      <m:oMath xmlns:m="http://schemas.openxmlformats.org/officeDocument/2006/math">
        <m:sSubSup>
          <m:e>
            <m:r>
              <m:t xml:space="preserve">F</m:t>
            </m:r>
          </m:e>
          <m:sub>
            <m:r>
              <m:rPr>
                <m:lit/>
                <m:nor/>
              </m:rPr>
              <m:t xml:space="preserve">ij</m:t>
            </m:r>
          </m:sub>
          <m:sup>
            <m:r>
              <m:rPr>
                <m:lit/>
                <m:nor/>
              </m:rPr>
              <m:t xml:space="preserve">kl</m:t>
            </m:r>
          </m:sup>
        </m:sSubSup>
        <m:r>
          <m:t xml:space="preserve">=</m:t>
        </m:r>
        <m:r>
          <m:rPr>
            <m:lit/>
            <m:nor/>
          </m:rPr>
          <m:t xml:space="preserve">max</m:t>
        </m:r>
        <m:d>
          <m:dPr>
            <m:begChr m:val="{"/>
            <m:endChr m:val=""/>
          </m:dPr>
          <m:e>
            <m:m>
              <m:mr>
                <m:e>
                  <m:r>
                    <m:t xml:space="preserve">(</m:t>
                  </m:r>
                  <m:sSup>
                    <m:e>
                      <m:r>
                        <m:rPr>
                          <m:lit/>
                          <m:nor/>
                        </m:rPr>
                        <m:t xml:space="preserve">Fu</m:t>
                      </m:r>
                    </m:e>
                    <m:sup>
                      <m:r>
                        <m:t xml:space="preserve">j</m:t>
                      </m:r>
                    </m:sup>
                  </m:sSup>
                  <m:sSup>
                    <m:e>
                      <m:r>
                        <m:t xml:space="preserve">d</m:t>
                      </m:r>
                    </m:e>
                    <m:sup>
                      <m:r>
                        <m:t xml:space="preserve">i</m:t>
                      </m:r>
                      <m:r>
                        <m:t xml:space="preserve">−</m:t>
                      </m:r>
                      <m:r>
                        <m:t xml:space="preserve">j</m:t>
                      </m:r>
                    </m:sup>
                  </m:sSup>
                  <m:r>
                    <m:t xml:space="preserve">−</m:t>
                  </m:r>
                  <m:r>
                    <m:t xml:space="preserve">K</m:t>
                  </m:r>
                  <m:r>
                    <m:t xml:space="preserve">)</m:t>
                  </m:r>
                  <m:r>
                    <m:t xml:space="preserve">φv</m:t>
                  </m:r>
                  <m:r>
                    <m:t xml:space="preserve">(</m:t>
                  </m:r>
                  <m:r>
                    <m:t xml:space="preserve">l</m:t>
                  </m:r>
                  <m:r>
                    <m:t xml:space="preserve">)</m:t>
                  </m:r>
                  <m:r>
                    <m:t xml:space="preserve">+</m:t>
                  </m:r>
                  <m:r>
                    <m:t xml:space="preserve">α</m:t>
                  </m:r>
                  <m:d>
                    <m:dPr>
                      <m:begChr m:val="["/>
                      <m:endChr m:val="]"/>
                    </m:dPr>
                    <m:e>
                      <m:sSubSup>
                        <m:e>
                          <m:r>
                            <m:rPr>
                              <m:lit/>
                              <m:nor/>
                            </m:rPr>
                            <m:t xml:space="preserve">pC</m:t>
                          </m:r>
                        </m:e>
                        <m:sub>
                          <m:r>
                            <m:t xml:space="preserve">i</m:t>
                          </m:r>
                          <m:r>
                            <m:t xml:space="preserve">+</m:t>
                          </m:r>
                          <m:r>
                            <m:t xml:space="preserve">1</m:t>
                          </m:r>
                          <m:r>
                            <m:t xml:space="preserve">,</m:t>
                          </m:r>
                          <m:r>
                            <m:t xml:space="preserve">j</m:t>
                          </m:r>
                          <m:r>
                            <m:t xml:space="preserve">+</m:t>
                          </m:r>
                          <m:r>
                            <m:t xml:space="preserve">1</m:t>
                          </m:r>
                        </m:sub>
                        <m:sup>
                          <m:r>
                            <m:rPr>
                              <m:lit/>
                              <m:nor/>
                            </m:rPr>
                            <m:t xml:space="preserve">kl</m:t>
                          </m:r>
                        </m:sup>
                      </m:sSubSup>
                      <m:r>
                        <m:t xml:space="preserve">+</m:t>
                      </m:r>
                      <m:sSubSup>
                        <m:e>
                          <m:r>
                            <m:rPr>
                              <m:lit/>
                              <m:nor/>
                            </m:rPr>
                            <m:t xml:space="preserve">qC</m:t>
                          </m:r>
                        </m:e>
                        <m:sub>
                          <m:r>
                            <m:t xml:space="preserve">i</m:t>
                          </m:r>
                          <m:r>
                            <m:t xml:space="preserve">+</m:t>
                          </m:r>
                          <m:r>
                            <m:t xml:space="preserve">1</m:t>
                          </m:r>
                          <m:r>
                            <m:t xml:space="preserve">,</m:t>
                          </m:r>
                          <m:r>
                            <m:t xml:space="preserve">j</m:t>
                          </m:r>
                        </m:sub>
                        <m:sup>
                          <m:r>
                            <m:rPr>
                              <m:lit/>
                              <m:nor/>
                            </m:rPr>
                            <m:t xml:space="preserve">kl</m:t>
                          </m:r>
                        </m:sup>
                      </m:sSubSup>
                    </m:e>
                  </m:d>
                </m:e>
              </m:mr>
              <m:mr>
                <m:e>
                  <m:r>
                    <m:t xml:space="preserve">(</m:t>
                  </m:r>
                  <m:sSup>
                    <m:e>
                      <m:r>
                        <m:rPr>
                          <m:lit/>
                          <m:nor/>
                        </m:rPr>
                        <m:t xml:space="preserve">Fu</m:t>
                      </m:r>
                    </m:e>
                    <m:sup>
                      <m:r>
                        <m:t xml:space="preserve">j</m:t>
                      </m:r>
                    </m:sup>
                  </m:sSup>
                  <m:sSup>
                    <m:e>
                      <m:r>
                        <m:t xml:space="preserve">d</m:t>
                      </m:r>
                    </m:e>
                    <m:sup>
                      <m:r>
                        <m:t xml:space="preserve">i</m:t>
                      </m:r>
                      <m:r>
                        <m:t xml:space="preserve">−</m:t>
                      </m:r>
                      <m:r>
                        <m:t xml:space="preserve">j</m:t>
                      </m:r>
                    </m:sup>
                  </m:sSup>
                  <m:r>
                    <m:t xml:space="preserve">−</m:t>
                  </m:r>
                  <m:r>
                    <m:t xml:space="preserve">K</m:t>
                  </m:r>
                  <m:r>
                    <m:t xml:space="preserve">)</m:t>
                  </m:r>
                  <m:r>
                    <m:t xml:space="preserve">φv</m:t>
                  </m:r>
                  <m:r>
                    <m:t xml:space="preserve">(</m:t>
                  </m:r>
                  <m:r>
                    <m:t xml:space="preserve">l</m:t>
                  </m:r>
                  <m:r>
                    <m:t xml:space="preserve">+</m:t>
                  </m:r>
                  <m:r>
                    <m:t xml:space="preserve">1</m:t>
                  </m:r>
                  <m:r>
                    <m:t xml:space="preserve">)</m:t>
                  </m:r>
                  <m:r>
                    <m:t xml:space="preserve">+</m:t>
                  </m:r>
                  <m:r>
                    <m:t xml:space="preserve">α</m:t>
                  </m:r>
                  <m:d>
                    <m:dPr>
                      <m:begChr m:val="["/>
                      <m:endChr m:val="]"/>
                    </m:dPr>
                    <m:e>
                      <m:sSubSup>
                        <m:e>
                          <m:r>
                            <m:rPr>
                              <m:lit/>
                              <m:nor/>
                            </m:rPr>
                            <m:t xml:space="preserve">pC</m:t>
                          </m:r>
                        </m:e>
                        <m:sub>
                          <m:r>
                            <m:t xml:space="preserve">i</m:t>
                          </m:r>
                          <m:r>
                            <m:t xml:space="preserve">+</m:t>
                          </m:r>
                          <m:r>
                            <m:t xml:space="preserve">1</m:t>
                          </m:r>
                          <m:r>
                            <m:t xml:space="preserve">,</m:t>
                          </m:r>
                          <m:r>
                            <m:t xml:space="preserve">j</m:t>
                          </m:r>
                          <m:r>
                            <m:t xml:space="preserve">+</m:t>
                          </m:r>
                          <m:r>
                            <m:t xml:space="preserve">1</m:t>
                          </m:r>
                        </m:sub>
                        <m:sup>
                          <m:r>
                            <m:t xml:space="preserve">k</m:t>
                          </m:r>
                          <m:r>
                            <m:t xml:space="preserve">+</m:t>
                          </m:r>
                          <m:r>
                            <m:t xml:space="preserve">1</m:t>
                          </m:r>
                          <m:r>
                            <m:t xml:space="preserve">,</m:t>
                          </m:r>
                          <m:r>
                            <m:t xml:space="preserve">l</m:t>
                          </m:r>
                          <m:r>
                            <m:t xml:space="preserve">+</m:t>
                          </m:r>
                          <m:r>
                            <m:t xml:space="preserve">1</m:t>
                          </m:r>
                        </m:sup>
                      </m:sSubSup>
                      <m:r>
                        <m:t xml:space="preserve">+</m:t>
                      </m:r>
                      <m:sSubSup>
                        <m:e>
                          <m:r>
                            <m:rPr>
                              <m:lit/>
                              <m:nor/>
                            </m:rPr>
                            <m:t xml:space="preserve">qC</m:t>
                          </m:r>
                        </m:e>
                        <m:sub>
                          <m:r>
                            <m:t xml:space="preserve">i</m:t>
                          </m:r>
                          <m:r>
                            <m:t xml:space="preserve">+</m:t>
                          </m:r>
                          <m:r>
                            <m:t xml:space="preserve">1</m:t>
                          </m:r>
                          <m:r>
                            <m:t xml:space="preserve">,</m:t>
                          </m:r>
                          <m:r>
                            <m:t xml:space="preserve">j</m:t>
                          </m:r>
                        </m:sub>
                        <m:sup>
                          <m:r>
                            <m:t xml:space="preserve">k</m:t>
                          </m:r>
                          <m:r>
                            <m:t xml:space="preserve">+</m:t>
                          </m:r>
                          <m:r>
                            <m:t xml:space="preserve">1</m:t>
                          </m:r>
                          <m:r>
                            <m:t xml:space="preserve">,</m:t>
                          </m:r>
                          <m:r>
                            <m:t xml:space="preserve">l</m:t>
                          </m:r>
                          <m:r>
                            <m:t xml:space="preserve">+</m:t>
                          </m:r>
                          <m:r>
                            <m:t xml:space="preserve">1</m:t>
                          </m:r>
                        </m:sup>
                      </m:sSubSup>
                    </m:e>
                  </m:d>
                </m:e>
              </m:mr>
              <m:mr>
                <m:e>
                  <m:r>
                    <m:t xml:space="preserve">(</m:t>
                  </m:r>
                  <m:sSup>
                    <m:e>
                      <m:r>
                        <m:rPr>
                          <m:lit/>
                          <m:nor/>
                        </m:rPr>
                        <m:t xml:space="preserve">Fu</m:t>
                      </m:r>
                    </m:e>
                    <m:sup>
                      <m:r>
                        <m:t xml:space="preserve">j</m:t>
                      </m:r>
                    </m:sup>
                  </m:sSup>
                  <m:sSup>
                    <m:e>
                      <m:r>
                        <m:t xml:space="preserve">d</m:t>
                      </m:r>
                    </m:e>
                    <m:sup>
                      <m:r>
                        <m:t xml:space="preserve">i</m:t>
                      </m:r>
                      <m:r>
                        <m:t xml:space="preserve">−</m:t>
                      </m:r>
                      <m:r>
                        <m:t xml:space="preserve">j</m:t>
                      </m:r>
                    </m:sup>
                  </m:sSup>
                  <m:r>
                    <m:t xml:space="preserve">−</m:t>
                  </m:r>
                  <m:r>
                    <m:t xml:space="preserve">K</m:t>
                  </m:r>
                  <m:r>
                    <m:t xml:space="preserve">)</m:t>
                  </m:r>
                  <m:r>
                    <m:t xml:space="preserve">φv</m:t>
                  </m:r>
                  <m:r>
                    <m:t xml:space="preserve">(</m:t>
                  </m:r>
                  <m:r>
                    <m:t xml:space="preserve">l</m:t>
                  </m:r>
                  <m:r>
                    <m:t xml:space="preserve">−</m:t>
                  </m:r>
                  <m:r>
                    <m:t xml:space="preserve">1</m:t>
                  </m:r>
                  <m:r>
                    <m:t xml:space="preserve">)</m:t>
                  </m:r>
                  <m:r>
                    <m:t xml:space="preserve">+</m:t>
                  </m:r>
                  <m:r>
                    <m:t xml:space="preserve">α</m:t>
                  </m:r>
                  <m:d>
                    <m:dPr>
                      <m:begChr m:val="["/>
                      <m:endChr m:val="]"/>
                    </m:dPr>
                    <m:e>
                      <m:sSubSup>
                        <m:e>
                          <m:r>
                            <m:rPr>
                              <m:lit/>
                              <m:nor/>
                            </m:rPr>
                            <m:t xml:space="preserve">pC</m:t>
                          </m:r>
                        </m:e>
                        <m:sub>
                          <m:r>
                            <m:t xml:space="preserve">i</m:t>
                          </m:r>
                          <m:r>
                            <m:t xml:space="preserve">+</m:t>
                          </m:r>
                          <m:r>
                            <m:t xml:space="preserve">1</m:t>
                          </m:r>
                          <m:r>
                            <m:t xml:space="preserve">,</m:t>
                          </m:r>
                          <m:r>
                            <m:t xml:space="preserve">j</m:t>
                          </m:r>
                          <m:r>
                            <m:t xml:space="preserve">+</m:t>
                          </m:r>
                          <m:r>
                            <m:t xml:space="preserve">1</m:t>
                          </m:r>
                        </m:sub>
                        <m:sup>
                          <m:r>
                            <m:t xml:space="preserve">k</m:t>
                          </m:r>
                          <m:r>
                            <m:t xml:space="preserve">+</m:t>
                          </m:r>
                          <m:r>
                            <m:t xml:space="preserve">1</m:t>
                          </m:r>
                          <m:r>
                            <m:t xml:space="preserve">,</m:t>
                          </m:r>
                          <m:r>
                            <m:t xml:space="preserve">l</m:t>
                          </m:r>
                          <m:r>
                            <m:t xml:space="preserve">−</m:t>
                          </m:r>
                          <m:r>
                            <m:t xml:space="preserve">1</m:t>
                          </m:r>
                        </m:sup>
                      </m:sSubSup>
                      <m:r>
                        <m:t xml:space="preserve">+</m:t>
                      </m:r>
                      <m:sSubSup>
                        <m:e>
                          <m:r>
                            <m:rPr>
                              <m:lit/>
                              <m:nor/>
                            </m:rPr>
                            <m:t xml:space="preserve">qC</m:t>
                          </m:r>
                        </m:e>
                        <m:sub>
                          <m:r>
                            <m:t xml:space="preserve">i</m:t>
                          </m:r>
                          <m:r>
                            <m:t xml:space="preserve">+</m:t>
                          </m:r>
                          <m:r>
                            <m:t xml:space="preserve">1</m:t>
                          </m:r>
                          <m:r>
                            <m:t xml:space="preserve">,</m:t>
                          </m:r>
                          <m:r>
                            <m:t xml:space="preserve">j</m:t>
                          </m:r>
                        </m:sub>
                        <m:sup>
                          <m:r>
                            <m:t xml:space="preserve">k</m:t>
                          </m:r>
                          <m:r>
                            <m:t xml:space="preserve">+</m:t>
                          </m:r>
                          <m:r>
                            <m:t xml:space="preserve">1</m:t>
                          </m:r>
                          <m:r>
                            <m:t xml:space="preserve">,</m:t>
                          </m:r>
                          <m:r>
                            <m:t xml:space="preserve">l</m:t>
                          </m:r>
                          <m:r>
                            <m:t xml:space="preserve">−</m:t>
                          </m:r>
                          <m:r>
                            <m:t xml:space="preserve">1</m:t>
                          </m:r>
                        </m:sup>
                      </m:sSubSup>
                    </m:e>
                  </m:d>
                </m:e>
              </m:mr>
            </m:m>
          </m:e>
        </m:d>
      </m:oMath>
    </w:p>
    <w:p>
      <w:pPr>
        <w:pStyle w:val="Normal"/>
        <w:numPr>
          <w:ilvl w:val="0"/>
          <w:numId w:val="0"/>
        </w:numPr>
        <w:tabs>
          <w:tab w:val="left" w:pos="720" w:leader="none"/>
          <w:tab w:val="left" w:pos="1170" w:leader="none"/>
          <w:tab w:val="left" w:pos="1800" w:leader="none"/>
        </w:tabs>
        <w:ind w:hanging="0" w:start="0"/>
        <w:jc w:val="both"/>
        <w:rPr>
          <w:sz w:val="24"/>
        </w:rPr>
      </w:pPr>
      <w:r>
        <w:rPr>
          <w:sz w:val="24"/>
        </w:rPr>
      </w:r>
    </w:p>
    <w:p>
      <w:pPr>
        <w:pStyle w:val="Normal"/>
        <w:numPr>
          <w:ilvl w:val="0"/>
          <w:numId w:val="0"/>
        </w:numPr>
        <w:tabs>
          <w:tab w:val="left" w:pos="720" w:leader="none"/>
          <w:tab w:val="left" w:pos="1170" w:leader="none"/>
          <w:tab w:val="left" w:pos="1800" w:leader="none"/>
        </w:tabs>
        <w:ind w:hanging="0" w:start="0"/>
        <w:jc w:val="both"/>
        <w:rPr/>
      </w:pPr>
      <w:r>
        <w:rPr>
          <w:sz w:val="24"/>
        </w:rPr>
        <w:tab/>
        <w:tab/>
        <w:t xml:space="preserve">For </w:t>
      </w:r>
      <w:r>
        <w:rPr/>
        <w:object w:dxaOrig="460" w:dyaOrig="2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3pt;height:11pt" filled="f" o:ole="">
            <v:imagedata r:id="rId81" o:title=""/>
          </v:shape>
          <o:OLEObject Type="Embed" ProgID="" ShapeID="ole_rId80" DrawAspect="Content" ObjectID="_498238919" r:id="rId80"/>
        </w:object>
      </w:r>
      <w:r>
        <w:rPr>
          <w:sz w:val="24"/>
        </w:rPr>
        <w:t>:</w:t>
      </w:r>
    </w:p>
    <w:p>
      <w:pPr>
        <w:pStyle w:val="Normal"/>
        <w:numPr>
          <w:ilvl w:val="0"/>
          <w:numId w:val="0"/>
        </w:numPr>
        <w:tabs>
          <w:tab w:val="left" w:pos="720" w:leader="none"/>
          <w:tab w:val="left" w:pos="1170" w:leader="none"/>
          <w:tab w:val="left" w:pos="1800" w:leader="none"/>
        </w:tabs>
        <w:ind w:hanging="0" w:start="0"/>
        <w:jc w:val="both"/>
        <w:rPr>
          <w:sz w:val="24"/>
        </w:rPr>
      </w:pPr>
      <w:r>
        <w:rPr>
          <w:sz w:val="24"/>
        </w:rPr>
      </w:r>
    </w:p>
    <w:p>
      <w:pPr>
        <w:pStyle w:val="Normal"/>
        <w:numPr>
          <w:ilvl w:val="0"/>
          <w:numId w:val="0"/>
        </w:numPr>
        <w:tabs>
          <w:tab w:val="left" w:pos="720" w:leader="none"/>
          <w:tab w:val="left" w:pos="1170" w:leader="none"/>
          <w:tab w:val="left" w:pos="1800" w:leader="none"/>
        </w:tabs>
        <w:ind w:hanging="0" w:start="0"/>
        <w:jc w:val="both"/>
        <w:rPr>
          <w:sz w:val="24"/>
        </w:rPr>
      </w:pPr>
      <w:r>
        <w:rPr>
          <w:sz w:val="24"/>
        </w:rPr>
        <w:tab/>
        <w:tab/>
        <w:tab/>
      </w:r>
      <w:r>
        <w:rPr/>
      </w:r>
      <m:oMath xmlns:m="http://schemas.openxmlformats.org/officeDocument/2006/math">
        <m:sSubSup>
          <m:e>
            <m:r>
              <m:t xml:space="preserve">F</m:t>
            </m:r>
          </m:e>
          <m:sub>
            <m:r>
              <m:rPr>
                <m:lit/>
                <m:nor/>
              </m:rPr>
              <m:t xml:space="preserve">ij</m:t>
            </m:r>
          </m:sub>
          <m:sup>
            <m:r>
              <m:rPr>
                <m:lit/>
                <m:nor/>
              </m:rPr>
              <m:t xml:space="preserve">kl</m:t>
            </m:r>
          </m:sup>
        </m:sSubSup>
        <m:r>
          <m:t xml:space="preserve">=</m:t>
        </m:r>
        <m:r>
          <m:rPr>
            <m:lit/>
            <m:nor/>
          </m:rPr>
          <m:t xml:space="preserve">max</m:t>
        </m:r>
      </m:oMath>
    </w:p>
    <w:p>
      <w:pPr>
        <w:pStyle w:val="Normal"/>
        <w:numPr>
          <w:ilvl w:val="0"/>
          <w:numId w:val="0"/>
        </w:numPr>
        <w:ind w:hanging="0" w:start="0"/>
        <w:jc w:val="both"/>
        <w:rPr>
          <w:sz w:val="24"/>
        </w:rPr>
      </w:pPr>
      <w:r>
        <w:rPr>
          <w:sz w:val="24"/>
        </w:rPr>
      </w:r>
    </w:p>
    <w:p>
      <w:pPr>
        <w:pStyle w:val="Normal"/>
        <w:numPr>
          <w:ilvl w:val="0"/>
          <w:numId w:val="0"/>
        </w:numPr>
        <w:tabs>
          <w:tab w:val="left" w:pos="720" w:leader="none"/>
          <w:tab w:val="left" w:pos="1440" w:leader="none"/>
          <w:tab w:val="left" w:pos="2160" w:leader="none"/>
        </w:tabs>
        <w:ind w:hanging="0" w:start="0"/>
        <w:jc w:val="both"/>
        <w:rPr/>
      </w:pPr>
      <w:r>
        <w:rPr>
          <w:i/>
          <w:sz w:val="24"/>
        </w:rPr>
        <w:t>Termination</w:t>
      </w:r>
      <w:r>
        <w:rPr>
          <w:sz w:val="24"/>
        </w:rPr>
        <w:t xml:space="preserve">. The desired option value is given by </w:t>
      </w:r>
    </w:p>
    <w:p>
      <w:pPr>
        <w:pStyle w:val="Normal"/>
        <w:numPr>
          <w:ilvl w:val="0"/>
          <w:numId w:val="0"/>
        </w:numPr>
        <w:tabs>
          <w:tab w:val="left" w:pos="720" w:leader="none"/>
          <w:tab w:val="left" w:pos="1440" w:leader="none"/>
          <w:tab w:val="left" w:pos="2160" w:leader="none"/>
        </w:tabs>
        <w:ind w:hanging="0" w:start="0"/>
        <w:jc w:val="both"/>
        <w:rPr>
          <w:sz w:val="24"/>
        </w:rPr>
      </w:pPr>
      <w:r>
        <w:rPr>
          <w:sz w:val="24"/>
        </w:rPr>
      </w:r>
    </w:p>
    <w:p>
      <w:pPr>
        <w:pStyle w:val="Normal"/>
        <w:numPr>
          <w:ilvl w:val="0"/>
          <w:numId w:val="0"/>
        </w:numPr>
        <w:tabs>
          <w:tab w:val="left" w:pos="720" w:leader="none"/>
          <w:tab w:val="left" w:pos="1440" w:leader="none"/>
          <w:tab w:val="left" w:pos="2160" w:leader="none"/>
        </w:tabs>
        <w:ind w:hanging="0" w:start="0"/>
        <w:jc w:val="both"/>
        <w:rPr/>
      </w:pPr>
      <w:r>
        <w:rPr/>
      </w:r>
      <m:oMath xmlns:m="http://schemas.openxmlformats.org/officeDocument/2006/math">
        <m:sSubSup>
          <m:e>
            <m:r>
              <m:t xml:space="preserve">C</m:t>
            </m:r>
          </m:e>
          <m:sub>
            <m:r>
              <m:rPr>
                <m:lit/>
                <m:nor/>
              </m:rPr>
              <m:t xml:space="preserve">00</m:t>
            </m:r>
          </m:sub>
          <m:sup>
            <m:r>
              <m:rPr>
                <m:lit/>
                <m:nor/>
              </m:rPr>
              <m:t xml:space="preserve">00</m:t>
            </m:r>
          </m:sup>
        </m:sSubSup>
        <m:r>
          <m:t xml:space="preserve">=</m:t>
        </m:r>
        <m:r>
          <m:t xml:space="preserve">α</m:t>
        </m:r>
        <m:d>
          <m:dPr>
            <m:begChr m:val="["/>
            <m:endChr m:val="]"/>
          </m:dPr>
          <m:e>
            <m:sSubSup>
              <m:e>
                <m:r>
                  <m:rPr>
                    <m:lit/>
                    <m:nor/>
                  </m:rPr>
                  <m:t xml:space="preserve">pC</m:t>
                </m:r>
              </m:e>
              <m:sub>
                <m:r>
                  <m:rPr>
                    <m:lit/>
                    <m:nor/>
                  </m:rPr>
                  <m:t xml:space="preserve">11</m:t>
                </m:r>
              </m:sub>
              <m:sup>
                <m:r>
                  <m:rPr>
                    <m:lit/>
                    <m:nor/>
                  </m:rPr>
                  <m:t xml:space="preserve">00</m:t>
                </m:r>
              </m:sup>
            </m:sSubSup>
            <m:r>
              <m:t xml:space="preserve">+</m:t>
            </m:r>
            <m:sSubSup>
              <m:e>
                <m:r>
                  <m:rPr>
                    <m:lit/>
                    <m:nor/>
                  </m:rPr>
                  <m:t xml:space="preserve">qC</m:t>
                </m:r>
              </m:e>
              <m:sub>
                <m:r>
                  <m:rPr>
                    <m:lit/>
                    <m:nor/>
                  </m:rPr>
                  <m:t xml:space="preserve">10</m:t>
                </m:r>
              </m:sub>
              <m:sup>
                <m:r>
                  <m:rPr>
                    <m:lit/>
                    <m:nor/>
                  </m:rPr>
                  <m:t xml:space="preserve">00</m:t>
                </m:r>
              </m:sup>
            </m:sSubSup>
          </m:e>
        </m:d>
      </m:oMath>
      <w:r>
        <w:rPr>
          <w:sz w:val="24"/>
        </w:rPr>
        <w:t>.</w:t>
      </w:r>
    </w:p>
    <w:p>
      <w:pPr>
        <w:pStyle w:val="Normal"/>
        <w:numPr>
          <w:ilvl w:val="0"/>
          <w:numId w:val="0"/>
        </w:numPr>
        <w:ind w:hanging="0" w:start="0"/>
        <w:jc w:val="both"/>
        <w:rPr>
          <w:sz w:val="24"/>
        </w:rPr>
      </w:pPr>
      <w:r>
        <w:rPr>
          <w:sz w:val="24"/>
        </w:rPr>
      </w:r>
    </w:p>
    <w:p>
      <w:pPr>
        <w:pStyle w:val="Normal"/>
        <w:numPr>
          <w:ilvl w:val="0"/>
          <w:numId w:val="0"/>
        </w:numPr>
        <w:ind w:hanging="0" w:start="0"/>
        <w:jc w:val="both"/>
        <w:rPr>
          <w:color w:val="0000FF"/>
          <w:sz w:val="24"/>
        </w:rPr>
      </w:pPr>
      <w:r>
        <w:rPr>
          <w:color w:val="0000FF"/>
          <w:sz w:val="24"/>
        </w:rPr>
        <w:t>Implementation Issues</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color w:val="0000FF"/>
          <w:sz w:val="24"/>
        </w:rPr>
        <w:tab/>
        <w:t xml:space="preserve">In this section, we discuss some issues related to implementation and time complexity of the pricing methods given in the previous sections. The recursion method given in section the above section for computing the value of a swing ratchet option requires </w:t>
      </w:r>
      <w:r>
        <w:rPr>
          <w:color w:val="0000FF"/>
        </w:rPr>
        <w:object w:dxaOrig="1100"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55pt;height:18pt" filled="f" o:ole="">
            <v:imagedata r:id="rId83" o:title=""/>
          </v:shape>
          <o:OLEObject Type="Embed" ProgID="" ShapeID="ole_rId82" DrawAspect="Content" ObjectID="_2080248352" r:id="rId82"/>
        </w:object>
      </w:r>
      <w:r>
        <w:rPr>
          <w:color w:val="0000FF"/>
          <w:sz w:val="24"/>
        </w:rPr>
        <w:t xml:space="preserve"> computations (i.e., a simple multiple of </w:t>
      </w:r>
      <w:r>
        <w:rPr>
          <w:color w:val="0000FF"/>
        </w:rPr>
        <w:object w:dxaOrig="720" w:dyaOrig="3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36pt;height:16pt" filled="f" o:ole="">
            <v:imagedata r:id="rId85" o:title=""/>
          </v:shape>
          <o:OLEObject Type="Embed" ProgID="" ShapeID="ole_rId84" DrawAspect="Content" ObjectID="_598961444" r:id="rId84"/>
        </w:object>
      </w:r>
      <w:r>
        <w:rPr>
          <w:color w:val="0000FF"/>
          <w:sz w:val="24"/>
        </w:rPr>
        <w:t xml:space="preserve">). Computational time can be reduced by more than half by re-cognizing the fact that, for computing </w:t>
      </w:r>
      <w:r>
        <w:rPr>
          <w:color w:val="0000FF"/>
        </w:rPr>
      </w:r>
      <m:oMath xmlns:m="http://schemas.openxmlformats.org/officeDocument/2006/math">
        <m:sSubSup>
          <m:e>
            <m:r>
              <m:t xml:space="preserve">C</m:t>
            </m:r>
          </m:e>
          <m:sub>
            <m:r>
              <m:rPr>
                <m:lit/>
                <m:nor/>
              </m:rPr>
              <m:t xml:space="preserve">00</m:t>
            </m:r>
          </m:sub>
          <m:sup>
            <m:r>
              <m:rPr>
                <m:lit/>
                <m:nor/>
              </m:rPr>
              <m:t xml:space="preserve">00</m:t>
            </m:r>
          </m:sup>
        </m:sSubSup>
      </m:oMath>
      <w:r>
        <w:rPr>
          <w:color w:val="0000FF"/>
          <w:sz w:val="24"/>
        </w:rPr>
        <w:t xml:space="preserve">, we need to evaluate </w:t>
      </w:r>
      <w:r>
        <w:rPr>
          <w:color w:val="0000FF"/>
        </w:rPr>
      </w:r>
      <m:oMath xmlns:m="http://schemas.openxmlformats.org/officeDocument/2006/math">
        <m:sSubSup>
          <m:e>
            <m:r>
              <m:t xml:space="preserve">C</m:t>
            </m:r>
          </m:e>
          <m:sub>
            <m:r>
              <m:rPr>
                <m:lit/>
                <m:nor/>
              </m:rPr>
              <m:t xml:space="preserve">ij</m:t>
            </m:r>
          </m:sub>
          <m:sup>
            <m:r>
              <m:rPr>
                <m:lit/>
                <m:nor/>
              </m:rPr>
              <m:t xml:space="preserve">kl</m:t>
            </m:r>
          </m:sup>
        </m:sSubSup>
      </m:oMath>
      <w:r>
        <w:rPr>
          <w:color w:val="0000FF"/>
          <w:sz w:val="24"/>
        </w:rPr>
        <w:t xml:space="preserve"> only when </w:t>
      </w:r>
      <w:r>
        <w:rPr>
          <w:color w:val="0000FF"/>
        </w:rPr>
        <w:object w:dxaOrig="460" w:dyaOrig="2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3pt;height:11pt" filled="f" o:ole="">
            <v:imagedata r:id="rId87" o:title=""/>
          </v:shape>
          <o:OLEObject Type="Embed" ProgID="" ShapeID="ole_rId86" DrawAspect="Content" ObjectID="_605608594" r:id="rId86"/>
        </w:object>
      </w:r>
      <w:r>
        <w:rPr>
          <w:color w:val="0000FF"/>
          <w:sz w:val="24"/>
        </w:rPr>
        <w:t xml:space="preserve"> is even and </w:t>
      </w:r>
      <w:r>
        <w:rPr>
          <w:color w:val="0000FF"/>
        </w:rPr>
        <w:object w:dxaOrig="480" w:dyaOrig="2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24pt;height:11pt" filled="f" o:ole="">
            <v:imagedata r:id="rId89" o:title=""/>
          </v:shape>
          <o:OLEObject Type="Embed" ProgID="" ShapeID="ole_rId88" DrawAspect="Content" ObjectID="_2061687787" r:id="rId88"/>
        </w:object>
      </w:r>
      <w:r>
        <w:rPr>
          <w:color w:val="0000FF"/>
          <w:sz w:val="24"/>
        </w:rPr>
        <w:t xml:space="preserve">. Further savings is achieved by using the fact that the number of swings </w:t>
      </w:r>
      <w:r>
        <w:rPr>
          <w:i/>
          <w:color w:val="0000FF"/>
          <w:sz w:val="24"/>
        </w:rPr>
        <w:t>k</w:t>
      </w:r>
      <w:r>
        <w:rPr>
          <w:color w:val="0000FF"/>
          <w:sz w:val="24"/>
        </w:rPr>
        <w:t xml:space="preserve"> has to be smaller than the number of periods </w:t>
      </w:r>
      <w:r>
        <w:rPr>
          <w:i/>
          <w:color w:val="0000FF"/>
          <w:sz w:val="24"/>
        </w:rPr>
        <w:t>i</w:t>
      </w:r>
      <w:r>
        <w:rPr>
          <w:color w:val="0000FF"/>
          <w:sz w:val="24"/>
        </w:rPr>
        <w:t xml:space="preserve">. It is also important to realize that we don't need to save all the </w:t>
      </w:r>
      <w:r>
        <w:rPr>
          <w:color w:val="0000FF"/>
        </w:rPr>
      </w:r>
      <m:oMath xmlns:m="http://schemas.openxmlformats.org/officeDocument/2006/math">
        <m:sSubSup>
          <m:e>
            <m:r>
              <m:t xml:space="preserve">C</m:t>
            </m:r>
          </m:e>
          <m:sub>
            <m:r>
              <m:rPr>
                <m:lit/>
                <m:nor/>
              </m:rPr>
              <m:t xml:space="preserve">ij</m:t>
            </m:r>
          </m:sub>
          <m:sup>
            <m:r>
              <m:rPr>
                <m:lit/>
                <m:nor/>
              </m:rPr>
              <m:t xml:space="preserve">kl</m:t>
            </m:r>
          </m:sup>
        </m:sSubSup>
      </m:oMath>
      <w:r>
        <w:rPr>
          <w:color w:val="0000FF"/>
          <w:sz w:val="24"/>
        </w:rPr>
        <w:t xml:space="preserve"> values computed since calculation of </w:t>
      </w:r>
      <w:r>
        <w:rPr>
          <w:color w:val="0000FF"/>
        </w:rPr>
      </w:r>
      <m:oMath xmlns:m="http://schemas.openxmlformats.org/officeDocument/2006/math">
        <m:sSubSup>
          <m:e>
            <m:r>
              <m:t xml:space="preserve">C</m:t>
            </m:r>
          </m:e>
          <m:sub>
            <m:r>
              <m:rPr>
                <m:lit/>
                <m:nor/>
              </m:rPr>
              <m:t xml:space="preserve">ij</m:t>
            </m:r>
          </m:sub>
          <m:sup>
            <m:r>
              <m:rPr>
                <m:lit/>
                <m:nor/>
              </m:rPr>
              <m:t xml:space="preserve">kl</m:t>
            </m:r>
          </m:sup>
        </m:sSubSup>
      </m:oMath>
      <w:r>
        <w:rPr>
          <w:color w:val="0000FF"/>
          <w:sz w:val="24"/>
        </w:rPr>
        <w:t xml:space="preserve"> for any given period </w:t>
      </w:r>
      <w:r>
        <w:rPr>
          <w:i/>
          <w:color w:val="0000FF"/>
          <w:sz w:val="24"/>
        </w:rPr>
        <w:t>i</w:t>
      </w:r>
      <w:r>
        <w:rPr>
          <w:color w:val="0000FF"/>
          <w:sz w:val="24"/>
        </w:rPr>
        <w:t xml:space="preserve"> requires the values </w:t>
      </w:r>
      <w:r>
        <w:rPr>
          <w:color w:val="0000FF"/>
        </w:rPr>
      </w:r>
      <m:oMath xmlns:m="http://schemas.openxmlformats.org/officeDocument/2006/math">
        <m:sSubSup>
          <m:e>
            <m:r>
              <m:t xml:space="preserve">C</m:t>
            </m:r>
          </m:e>
          <m:sub>
            <m:r>
              <m:t xml:space="preserve">i</m:t>
            </m:r>
            <m:r>
              <m:t xml:space="preserve">+</m:t>
            </m:r>
            <m:r>
              <m:t xml:space="preserve">1</m:t>
            </m:r>
            <m:r>
              <m:t xml:space="preserve">,</m:t>
            </m:r>
            <m:r>
              <m:t xml:space="preserve">j</m:t>
            </m:r>
          </m:sub>
          <m:sup>
            <m:r>
              <m:rPr>
                <m:lit/>
                <m:nor/>
              </m:rPr>
              <m:t xml:space="preserve">kl</m:t>
            </m:r>
          </m:sup>
        </m:sSubSup>
      </m:oMath>
      <w:r>
        <w:rPr>
          <w:color w:val="0000FF"/>
          <w:sz w:val="24"/>
        </w:rPr>
        <w:t xml:space="preserve"> corresponding to the next period only. This greatly reduces memory space required for computing the option price. Similar observations can be made for the recursion method for take-or-pay options which has a time complexity of </w:t>
      </w:r>
      <w:r>
        <w:rPr>
          <w:color w:val="0000FF"/>
        </w:rPr>
        <w:object w:dxaOrig="1240" w:dyaOrig="38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62pt;height:19pt" filled="f" o:ole="">
            <v:imagedata r:id="rId91" o:title=""/>
          </v:shape>
          <o:OLEObject Type="Embed" ProgID="" ShapeID="ole_rId90" DrawAspect="Content" ObjectID="_827994177" r:id="rId90"/>
        </w:object>
      </w:r>
      <w:r>
        <w:rPr>
          <w:color w:val="0000FF"/>
          <w:sz w:val="24"/>
        </w:rPr>
        <w:t xml:space="preserve">. </w:t>
      </w:r>
    </w:p>
    <w:p>
      <w:pPr>
        <w:pStyle w:val="Normal"/>
        <w:numPr>
          <w:ilvl w:val="0"/>
          <w:numId w:val="0"/>
        </w:numPr>
        <w:ind w:hanging="0" w:start="0"/>
        <w:jc w:val="both"/>
        <w:rPr>
          <w:color w:val="0000FF"/>
          <w:sz w:val="24"/>
        </w:rPr>
      </w:pPr>
      <w:r>
        <w:rPr>
          <w:color w:val="0000FF"/>
          <w:sz w:val="24"/>
        </w:rPr>
      </w:r>
    </w:p>
    <w:p>
      <w:pPr>
        <w:pStyle w:val="Normal"/>
        <w:numPr>
          <w:ilvl w:val="0"/>
          <w:numId w:val="0"/>
        </w:numPr>
        <w:ind w:hanging="0" w:start="0"/>
        <w:jc w:val="both"/>
        <w:rPr/>
      </w:pPr>
      <w:r>
        <w:rPr/>
        <w:t xml:space="preserve"> </w:t>
      </w:r>
      <w:r>
        <w:rPr>
          <w:b/>
          <w:sz w:val="24"/>
        </w:rPr>
        <w:t>Concluding remarks: practical considerations</w:t>
      </w:r>
      <w:r>
        <w:rPr>
          <w:sz w:val="24"/>
        </w:rPr>
        <w:t xml:space="preserve"> </w:t>
      </w:r>
    </w:p>
    <w:p>
      <w:pPr>
        <w:pStyle w:val="Normal"/>
        <w:numPr>
          <w:ilvl w:val="0"/>
          <w:numId w:val="0"/>
        </w:numPr>
        <w:ind w:hanging="0" w:start="0"/>
        <w:jc w:val="both"/>
        <w:rPr>
          <w:sz w:val="24"/>
        </w:rPr>
      </w:pPr>
      <w:r>
        <w:rPr>
          <w:sz w:val="24"/>
        </w:rPr>
      </w:r>
    </w:p>
    <w:p>
      <w:pPr>
        <w:pStyle w:val="Normal"/>
        <w:numPr>
          <w:ilvl w:val="0"/>
          <w:numId w:val="0"/>
        </w:numPr>
        <w:ind w:firstLine="720" w:start="0" w:end="0"/>
        <w:jc w:val="both"/>
        <w:rPr>
          <w:color w:val="0000FF"/>
          <w:sz w:val="24"/>
        </w:rPr>
      </w:pPr>
      <w:r>
        <w:rPr>
          <w:color w:val="0000FF"/>
          <w:sz w:val="24"/>
        </w:rPr>
        <w:t>This chapter is a product of our experience in structuring option-based risk management products at Enron Capital &amp; Trade Resources. It seems that the progress in the area of exotic energy options in the last few years has happened on two fronts. One direction of research is the development of new algorithms for pricing options with complicated payoff structures, coming up with better approximations or closed form solutions. The  motivation behind it, in addition to intellectual satisfaction, is to come up with solutions using less computer resources, guaranteeing higher precision and also allowing for estimating and reducing the error inherent in the approximations. Especially impressive is the progress in the area of pricing Asian options, though many techniques have not been transferred yet fully to practical implementations. The second direction is to capture in the theoretical pricing models the salient features of the energy markets. Hopefully these two streams of research will become better integrated in the future.</w:t>
      </w:r>
    </w:p>
    <w:p>
      <w:pPr>
        <w:pStyle w:val="Normal"/>
        <w:numPr>
          <w:ilvl w:val="0"/>
          <w:numId w:val="0"/>
        </w:numPr>
        <w:ind w:hanging="0" w:start="0"/>
        <w:jc w:val="both"/>
        <w:rPr>
          <w:color w:val="0000FF"/>
          <w:sz w:val="24"/>
        </w:rPr>
      </w:pPr>
      <w:r>
        <w:rPr>
          <w:color w:val="0000FF"/>
          <w:sz w:val="24"/>
        </w:rPr>
      </w:r>
    </w:p>
    <w:p>
      <w:pPr>
        <w:pStyle w:val="Normal"/>
        <w:numPr>
          <w:ilvl w:val="0"/>
          <w:numId w:val="0"/>
        </w:numPr>
        <w:ind w:firstLine="720" w:start="0" w:end="0"/>
        <w:jc w:val="both"/>
        <w:rPr>
          <w:sz w:val="24"/>
        </w:rPr>
      </w:pPr>
      <w:r>
        <w:rPr>
          <w:sz w:val="24"/>
        </w:rPr>
        <w:t xml:space="preserve">The degree of market penetration for the more exotic options is very uneven, and ranges from full acceptance in the case of the largest and most sophisticated companies, to very reserved, polite interest (with avoidance of any firm commitment) from many smaller energy companies.  Why are many producers and end-users so wary of using some risk-management products? One reason is that some of the products are relatively new and are insufficiently understood, and the pricing models are not readily available to many potential buyers. They are unwilling to use these products when they cannot replicate the pricing with a high degree of certainty. And, in the case of customised products, it can be difficult to obtain comparable, simultaneous quotes from multiple market makers. </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 xml:space="preserve">Exotic options also present some formidable problems to the institutions that offer them. One obvious problem is that many exotic options are highly customised and require, in each case, a set of indicative data which does not lend itself easily to integration with the existing pricing and portfolio software. The “quants” attached to the risk management desks often struggle against time constraints to build a new and reliable option-pricing model, only to find from the risk systems manager that the new product cannot be captured and carried in the company’s portfolio management system - and has to be hedged and marked-to-market in a spreadsheet. </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 xml:space="preserve">The spreadsheet method is not a sound risk management procedure, and it violates the explicit policies of many companies. If option positions are dispersed in many different spreadsheets, it is difficult to monitor the risks and to rebalance the hedges in a timely manner. The “spreadsheet risk” is one of the more serious and unrecognised of the many dangers posed by exotic options. This risk may, of course, be amplified by “model risk” (flaws or approximations in the mathematical equations underlying the option-pricing algorithms), and by the risk that there is a “bug” in the computer code used to implement an otherwise solid theoretical construction. One obvious question for any institution contemplating buying or selling exotic options is whether it should acquire commercially available software, or develop the necessary computer programmes internally. As exotic options become more and more customised, they demand a flexibility that is rarely available in commercially packaged software. Another potential problem is that commercial software packages may be offered as black boxes; or, if the source code is offered, it may be prohibitively expensive. Such packages can be very useful for validating models developed internally, but we feel that most market makers need proprietary software. It is required not only for pricing, but also for hedging options and marking them to market. Using a black box is risky, given the high cost of even a minor mistake or interpretative error. </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 xml:space="preserve">Another reason for purchasing source code, or generating the models internally, is accounting requirements. In most companies, options have to be marked to market daily, and the auditors are reluctant to rely on models which cannot be easily verified and explained. Of course, some of the smaller participants in the exotic options markets simply cannot devote the resources needed to build in-house valuation software. The “trade off” is that the packages they use will not be flexible enough to value some of the highly customised exotic products offered in the market. </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ab/>
        <w:t xml:space="preserve">Let us review some other complications. Typically, exotic options are conceived through an interaction between research groups and marketing personnel who work closely with customers. The extensive customisation of exotics results in products with prices which are difficult to verify by comparison with similar contracts available in the OTC market or with exchange-traded benchmark options. The lack of market information can also mean that it is difficult or impossible to obtain reliable estimates of implied volatilities and correlations from the available quoted option premia. In this situation, the trader must work closely with the research group to determine relevant inputs. </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 xml:space="preserve">Econometric research, relatively unimportant in the option industry of the past, is vital in the case of exotic options. Many traders who understand implied volatility have had to familiarise themselves quickly with the arcane art of ARCH, GARCH and EGARCH estimators. </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An additional complication, in the case of energy commodities, is that many of them have a strong seasonal pattern which may evolve under the influence of various market forces. Traders typically use correlations and volatilities based on the historical data for the time period corresponding to the time interval for which the option is written. For example, if an option is written in June for December expiration of the same year, one would use the historical data for the same months in the past. This heuristic approach has a major shortcoming: it necessarily fails to use the most recent market developments, which may include information affecting the seasonality of volatility and the nature of the correlations.</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Once an option is written and put into the portfolio, hedging the option becomes, in the case of many exotics, a real challenge. The difficulties arise for two different reasons. One source of problems is the definition of the option, which may result in dramatic changes of delta in some regions of the values of the underlying prices. High gamma risk is another way of describing the difficulty of maintaining a replicating portfolio which instantaneously hedges the option.</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This risk may be amplified by a special property of the underlying prices. In the energy markets, prices often undergo a sudden and significant change - for example, the price changes brought about in the crude markets by political or military events in the Middle East. This property, known as “gapping”, violates the underlying assumptions of the option-pricing models discussed in this chapter. Let us recall that the underlying assumption was that the prices follow geometric Brownian motion, which postulates continuous changes. In practical terms, a sudden, drastic change in price level causes a major shift in the delta of an option and requires a rebalancing of the hedge. The speed with which prices change can make it practically impossible to readjust the hedges in a timely manner. This problem is aggravated by the need to simultaneously rebalance the hedges for a number of underlyings when hedging multi-commodity options.</w:t>
      </w:r>
    </w:p>
    <w:p>
      <w:pPr>
        <w:pStyle w:val="Normal"/>
        <w:numPr>
          <w:ilvl w:val="0"/>
          <w:numId w:val="0"/>
        </w:numPr>
        <w:ind w:firstLine="720" w:start="0" w:end="0"/>
        <w:jc w:val="both"/>
        <w:rPr>
          <w:sz w:val="24"/>
        </w:rPr>
      </w:pPr>
      <w:r>
        <w:rPr>
          <w:sz w:val="24"/>
        </w:rPr>
      </w:r>
    </w:p>
    <w:p>
      <w:pPr>
        <w:pStyle w:val="Normal"/>
        <w:numPr>
          <w:ilvl w:val="0"/>
          <w:numId w:val="0"/>
        </w:numPr>
        <w:ind w:firstLine="720" w:start="0" w:end="0"/>
        <w:jc w:val="both"/>
        <w:rPr>
          <w:sz w:val="24"/>
        </w:rPr>
      </w:pPr>
      <w:r>
        <w:rPr>
          <w:sz w:val="24"/>
        </w:rPr>
        <w:t>Additional challenges often arise when hedging in the energy markets due to a lack of market liquidity. Although several energy commodities enjoy respectable market liquidity, most of the trade volume is concentrated in a few nearby months. Of commodities trading on the Nymex, crude oil has the largest open interest, at around 500,000 contracts. Although there are 30 consecutive monthly contracts, plus five additional long-dated contracts, the six nearby contracts account for about half of the total open interest for crude. So, even for the most active of the Nymex energy commodities, there is little liquidity beyond a time horizon of three to six months.</w:t>
      </w:r>
    </w:p>
    <w:p>
      <w:pPr>
        <w:pStyle w:val="Normal"/>
        <w:numPr>
          <w:ilvl w:val="0"/>
          <w:numId w:val="0"/>
        </w:numPr>
        <w:ind w:firstLine="720" w:start="0" w:end="0"/>
        <w:jc w:val="both"/>
        <w:rPr>
          <w:sz w:val="24"/>
        </w:rPr>
      </w:pPr>
      <w:r>
        <w:rPr>
          <w:sz w:val="24"/>
        </w:rPr>
      </w:r>
    </w:p>
    <w:p>
      <w:pPr>
        <w:pStyle w:val="Normal"/>
        <w:numPr>
          <w:ilvl w:val="0"/>
          <w:numId w:val="0"/>
        </w:numPr>
        <w:ind w:hanging="0" w:start="0"/>
        <w:jc w:val="both"/>
        <w:rPr>
          <w:sz w:val="24"/>
        </w:rPr>
      </w:pPr>
      <w:r>
        <w:rPr>
          <w:sz w:val="24"/>
        </w:rPr>
        <w:tab/>
        <w:t>The Nymex natural gas, unleaded and heating oil markets also enjoy reasonable liquidity in the front months. But for some other commodities, such as propane, there is only a small contract volume even in the prompt month on most trading days. The total lack of liquidity in many markets, and the lack of liquidity beyond the nearby months in the more developed markets, give rise to risks that are essentially similar to the gapping risk discussed above.</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 xml:space="preserve">Even when prices move in an orderly fashion within the energy markets, adjusting hedges for a large portfolio of options may be difficult due to the lack of market depth. This problem is, of course, exacerbated for longer-dated contracts. The limited liquidity makes hedging any type of option risky, but this risk is amplified for exotic options which have large gammas (such as barrier and digital options), as these lead to rapid changes in hedge ratios. Given this, it could be argued that only experienced market makers, who have a substantial book of business and thus a greater ability to diversify across the OTC markets, are in a position to construct and hedge exotics. </w:t>
        <w:tab/>
        <w:t>Another complication is that not only price levels, but also levels of volatility and correlation, may undergo rapid changes. Figure 10 illustrates the relationship between the correlation of price levels of crude oil and heating oil (Nymex prices, prompt month, six-month trailing) and the volatilities of both prices. One can see that not only does volatility change quite suddenly, but also that the changes in volatility are associated with changes in correlation - typically in the same direction. This phenomenon was particularly visible during the Gulf War, and can be explained by the sensitivity of both prices to a common factor. When this common underlying factor disappears, the relationship between the two prices grows weaker.</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Derivatives specialists moving into the commodities arena should especially note this finding, as in many other derivative sectors any increased volatility in the markets typically coincides with reduced correlation. There are no easy answers to the problems involved in hedging these risks. Some dealers try to address these problems by trying to run a portfolio as a matched book of business, to the extent that this is possible. This policy, however, greatly limits the volume of business which may be taken into the book.</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tab/>
        <w:t>Another solution is to use sophisticated hedging strategies which employ a combination of options to replicate the behaviour of the underwritten option. Finding an adequate portfolio of replicating options may require the use of optimisation techniques. The main shortcoming of the option replication strategy is the expense incurred when purchasing the replicating options. Other solutions proposed by practitioners, such as stochastic replication, are still in the early stages of development.</w:t>
      </w:r>
    </w:p>
    <w:p>
      <w:pPr>
        <w:pStyle w:val="Normal"/>
        <w:numPr>
          <w:ilvl w:val="0"/>
          <w:numId w:val="0"/>
        </w:numPr>
        <w:ind w:hanging="0" w:start="0"/>
        <w:jc w:val="both"/>
        <w:rPr>
          <w:sz w:val="24"/>
        </w:rPr>
      </w:pPr>
      <w:r>
        <w:rPr>
          <w:sz w:val="24"/>
        </w:rPr>
        <w:t xml:space="preserve"> </w:t>
      </w:r>
    </w:p>
    <w:p>
      <w:pPr>
        <w:pStyle w:val="Normal"/>
        <w:numPr>
          <w:ilvl w:val="0"/>
          <w:numId w:val="0"/>
        </w:numPr>
        <w:ind w:hanging="0" w:start="0"/>
        <w:jc w:val="both"/>
        <w:rPr>
          <w:sz w:val="24"/>
        </w:rPr>
      </w:pPr>
      <w:r>
        <w:rPr>
          <w:sz w:val="24"/>
        </w:rPr>
        <w:tab/>
        <w:t>Many of the problems outlined above tend to be mitigated by the portfolio effect, which can be exploited to the advantage of large players in the market. This effect, the theory behind which is explained in more detail in Chapter 8, results from the natural self hedging which occurs between partially or totally offsetting contracts that are contained in the portfolio of a market maker who takes positions on both sides of a market. Managing a large portfolio of contracts - while avoiding excessive concentrations in any single series - provides the critical mass necessary to absorb the short-term price risks that arise out of new business; a large volume of business also helps to minimise hedging costs.</w:t>
      </w:r>
    </w:p>
    <w:p>
      <w:pPr>
        <w:pStyle w:val="Normal"/>
        <w:numPr>
          <w:ilvl w:val="0"/>
          <w:numId w:val="0"/>
        </w:numPr>
        <w:ind w:hanging="0" w:start="0"/>
        <w:jc w:val="both"/>
        <w:rPr>
          <w:sz w:val="24"/>
        </w:rPr>
      </w:pPr>
      <w:r>
        <w:rPr>
          <w:sz w:val="24"/>
        </w:rPr>
      </w:r>
    </w:p>
    <w:p>
      <w:pPr>
        <w:pStyle w:val="Normal"/>
        <w:numPr>
          <w:ilvl w:val="0"/>
          <w:numId w:val="5"/>
        </w:numPr>
        <w:jc w:val="both"/>
        <w:rPr>
          <w:sz w:val="24"/>
        </w:rPr>
      </w:pPr>
      <w:r>
        <w:rPr>
          <w:sz w:val="24"/>
        </w:rPr>
        <w:t>We are grateful to the publishers of RISK for inviting us to contribute to this publication, and especially to Robert Jameson for his comments and patience demonstrated waiting for the final version of the manuscript. We would like to thank Darrell Duffie of  Stanford University and Frédéric Barnaud of Elf Trading for their comments. We also received much support and feedback from our colleagues at Enron, including Jeff Skilling, John Esslinger, Joe Pokalsky, Jay Fitzgerald, Greg Whalley, Jean François Brault, Matt Hogan, Joe Toussaint, Pinnamaneni Krishnarao, Ellen Liu, Corwin Joy, Grant Masson, and Jennifer Modesett, and from Tom Costantino of Enron Oil Transportation and Trading.</w:t>
      </w:r>
    </w:p>
    <w:p>
      <w:pPr>
        <w:pStyle w:val="Normal"/>
        <w:jc w:val="both"/>
        <w:rPr>
          <w:sz w:val="24"/>
        </w:rPr>
      </w:pPr>
      <w:r>
        <w:rPr>
          <w:sz w:val="24"/>
        </w:rPr>
      </w:r>
    </w:p>
    <w:p>
      <w:pPr>
        <w:pStyle w:val="Normal"/>
        <w:numPr>
          <w:ilvl w:val="0"/>
          <w:numId w:val="5"/>
        </w:numPr>
        <w:jc w:val="both"/>
        <w:rPr>
          <w:sz w:val="24"/>
        </w:rPr>
      </w:pPr>
      <w:r>
        <w:rPr>
          <w:sz w:val="24"/>
        </w:rPr>
        <w:t>MMBtu stands for million British Thermal Units (Btus).</w:t>
      </w:r>
    </w:p>
    <w:p>
      <w:pPr>
        <w:pStyle w:val="Normal"/>
        <w:jc w:val="both"/>
        <w:rPr>
          <w:sz w:val="24"/>
        </w:rPr>
      </w:pPr>
      <w:r>
        <w:rPr>
          <w:sz w:val="24"/>
        </w:rPr>
      </w:r>
    </w:p>
    <w:p>
      <w:pPr>
        <w:pStyle w:val="Normal"/>
        <w:numPr>
          <w:ilvl w:val="0"/>
          <w:numId w:val="5"/>
        </w:numPr>
        <w:jc w:val="both"/>
        <w:rPr>
          <w:color w:val="FF00FF"/>
          <w:sz w:val="24"/>
        </w:rPr>
      </w:pPr>
      <w:r>
        <w:rPr>
          <w:color w:val="FF00FF"/>
          <w:sz w:val="24"/>
        </w:rPr>
        <w:t>Bid week is a period of a few days few days during which gas for the next calendar month delivery is transacted in the U.S. markets. This happens around the 25</w:t>
      </w:r>
      <w:r>
        <w:rPr>
          <w:color w:val="FF00FF"/>
          <w:sz w:val="24"/>
          <w:vertAlign w:val="superscript"/>
        </w:rPr>
        <w:t>th</w:t>
      </w:r>
      <w:r>
        <w:rPr>
          <w:color w:val="FF00FF"/>
          <w:sz w:val="24"/>
        </w:rPr>
        <w:t xml:space="preserve"> of each month. </w:t>
      </w:r>
    </w:p>
    <w:p>
      <w:pPr>
        <w:pStyle w:val="Normal"/>
        <w:numPr>
          <w:ilvl w:val="0"/>
          <w:numId w:val="5"/>
        </w:numPr>
        <w:jc w:val="both"/>
        <w:rPr>
          <w:color w:val="FF00FF"/>
          <w:sz w:val="24"/>
        </w:rPr>
      </w:pPr>
      <w:r>
        <w:rPr>
          <w:rStyle w:val="EndnoteCharacters"/>
          <w:color w:val="FF00FF"/>
          <w:position w:val="0"/>
          <w:sz w:val="24"/>
          <w:sz w:val="24"/>
          <w:vertAlign w:val="baseline"/>
        </w:rPr>
        <w:t>One should rather speak of “floor reverting process”.  See, Vincent Kaminski, “The Challenge of Pricing and Risk Managing Electricity Derivatives” in “The US Power Market”, Risk Publications, 1994</w:t>
      </w:r>
    </w:p>
    <w:p>
      <w:pPr>
        <w:pStyle w:val="Normal"/>
        <w:numPr>
          <w:ilvl w:val="0"/>
          <w:numId w:val="4"/>
        </w:numPr>
        <w:jc w:val="both"/>
        <w:rPr>
          <w:sz w:val="24"/>
        </w:rPr>
      </w:pPr>
      <w:r>
        <w:rPr>
          <w:color w:val="FF00FF"/>
          <w:sz w:val="24"/>
        </w:rPr>
        <w:t>See Samuelson, P., “Proof That Properly Anticipated Prices Fluctuate Randomly”, Industrial Management Review, 6, pp. 41-50</w:t>
      </w:r>
    </w:p>
    <w:p>
      <w:pPr>
        <w:pStyle w:val="Normal"/>
        <w:numPr>
          <w:ilvl w:val="0"/>
          <w:numId w:val="4"/>
        </w:numPr>
        <w:jc w:val="both"/>
        <w:rPr>
          <w:sz w:val="24"/>
        </w:rPr>
      </w:pPr>
      <w:r>
        <w:rPr>
          <w:color w:val="FF00FF"/>
          <w:sz w:val="24"/>
        </w:rPr>
        <w:t>Dragana Pilipovic proposed a very insightful characterization of the behavior of energy prices: they behave as if they had split personality</w:t>
      </w:r>
      <w:r>
        <w:rPr>
          <w:sz w:val="24"/>
        </w:rPr>
        <w:t xml:space="preserve">. </w:t>
      </w:r>
      <w:r>
        <w:rPr>
          <w:color w:val="FF00FF"/>
          <w:sz w:val="24"/>
        </w:rPr>
        <w:t>The dynamics of long-term prices, as opposed to the behavior of long-term prices is much different</w:t>
      </w:r>
      <w:r>
        <w:rPr>
          <w:sz w:val="24"/>
        </w:rPr>
        <w:t>.</w:t>
      </w:r>
    </w:p>
    <w:p>
      <w:pPr>
        <w:pStyle w:val="Normal"/>
        <w:numPr>
          <w:ilvl w:val="0"/>
          <w:numId w:val="4"/>
        </w:numPr>
        <w:jc w:val="both"/>
        <w:rPr>
          <w:sz w:val="24"/>
        </w:rPr>
      </w:pPr>
      <w:r>
        <w:rPr>
          <w:sz w:val="24"/>
        </w:rPr>
        <w:t>Chapter 2 of this book compares several GARCH methods with historical and implied volatilities and finds that some types of GARCH estimates may be superior to simple historical volatilities.</w:t>
      </w:r>
    </w:p>
    <w:p>
      <w:pPr>
        <w:pStyle w:val="Normal"/>
        <w:numPr>
          <w:ilvl w:val="0"/>
          <w:numId w:val="4"/>
        </w:numPr>
        <w:jc w:val="both"/>
        <w:rPr>
          <w:sz w:val="24"/>
        </w:rPr>
      </w:pPr>
      <w:r>
        <w:rPr>
          <w:sz w:val="24"/>
        </w:rPr>
        <w:t xml:space="preserve">Though the penalty is actually paid at the end of </w:t>
      </w:r>
      <w:r>
        <w:rPr>
          <w:i/>
          <w:sz w:val="24"/>
        </w:rPr>
        <w:t xml:space="preserve">N </w:t>
      </w:r>
      <w:r>
        <w:rPr>
          <w:sz w:val="24"/>
        </w:rPr>
        <w:t>days, it is applied here after (</w:t>
      </w:r>
      <w:r>
        <w:rPr>
          <w:i/>
          <w:sz w:val="24"/>
        </w:rPr>
        <w:t>N</w:t>
      </w:r>
      <w:r>
        <w:rPr>
          <w:sz w:val="24"/>
        </w:rPr>
        <w:t>+1)th day, one day after the option expiration. This makes it easier to write down and implement the equations for the iterative step. The penalty expression has a discount factor in the denominator to cancel the discounting that will be done in the iterative step.</w:t>
      </w:r>
    </w:p>
    <w:p>
      <w:pPr>
        <w:pStyle w:val="Heading1"/>
        <w:widowControl w:val="false"/>
        <w:ind w:hanging="0" w:start="0"/>
        <w:rPr>
          <w:rFonts w:ascii="Times New Roman" w:hAnsi="Times New Roman" w:cs="Times New Roman"/>
          <w:lang w:val="en-GB"/>
        </w:rPr>
      </w:pPr>
      <w:r>
        <w:rPr>
          <w:rFonts w:cs="Times New Roman" w:ascii="Times New Roman" w:hAnsi="Times New Roman"/>
          <w:lang w:val="en-GB"/>
        </w:rPr>
        <w:t xml:space="preserve">BIBLIOGRAPHY </w:t>
      </w:r>
    </w:p>
    <w:p>
      <w:pPr>
        <w:pStyle w:val="Normal"/>
        <w:jc w:val="both"/>
        <w:rPr>
          <w:rFonts w:ascii="Times New Roman" w:hAnsi="Times New Roman" w:cs="Times New Roman"/>
          <w:b/>
          <w:sz w:val="24"/>
          <w:lang w:val="en-GB"/>
        </w:rPr>
      </w:pPr>
      <w:r>
        <w:rPr>
          <w:rFonts w:cs="Times New Roman"/>
          <w:b/>
          <w:sz w:val="24"/>
          <w:lang w:val="en-GB"/>
        </w:rPr>
      </w:r>
    </w:p>
    <w:p>
      <w:pPr>
        <w:pStyle w:val="Normal"/>
        <w:jc w:val="both"/>
        <w:rPr>
          <w:sz w:val="24"/>
        </w:rPr>
      </w:pPr>
      <w:r>
        <w:rPr>
          <w:color w:val="008000"/>
          <w:sz w:val="24"/>
        </w:rPr>
        <w:t>AitSahlia, F., and T. Lai, “Valuation of Discrete Barrier and Hindsight Options,” Journal of Financial Engineering, 6 (June 1997) pp. 169-177</w:t>
      </w:r>
    </w:p>
    <w:p>
      <w:pPr>
        <w:pStyle w:val="Normal"/>
        <w:jc w:val="both"/>
        <w:rPr>
          <w:sz w:val="24"/>
        </w:rPr>
      </w:pPr>
      <w:r>
        <w:rPr>
          <w:sz w:val="24"/>
        </w:rPr>
        <w:t>Amin, K., 1991 “On the Computation of Continuous Time Option Prices Using Discrete Approximations”, Journal of Financial and Quantitative Analysis, 26 (December 1991), pp. 477-95</w:t>
      </w:r>
    </w:p>
    <w:p>
      <w:pPr>
        <w:pStyle w:val="BodyText2"/>
        <w:ind w:hanging="0" w:end="0"/>
        <w:jc w:val="both"/>
        <w:rPr>
          <w:rFonts w:ascii="Times New Roman" w:hAnsi="Times New Roman" w:cs="Times New Roman"/>
          <w:sz w:val="24"/>
        </w:rPr>
      </w:pPr>
      <w:r>
        <w:rPr>
          <w:rFonts w:cs="Times New Roman" w:ascii="Times New Roman" w:hAnsi="Times New Roman"/>
          <w:sz w:val="24"/>
        </w:rPr>
        <w:t>Barraquand, J., and D. Martineau 1995 “Numerical Valuation of High Dimensional Multivariate American Securities”, Journal of Financial and Quantitative Analysis, 30 (September 1995), pp. 383-405</w:t>
      </w:r>
    </w:p>
    <w:p>
      <w:pPr>
        <w:pStyle w:val="BodyText2"/>
        <w:ind w:hanging="0" w:end="0"/>
        <w:jc w:val="both"/>
        <w:rPr>
          <w:rFonts w:ascii="Times New Roman" w:hAnsi="Times New Roman" w:cs="Times New Roman"/>
          <w:sz w:val="24"/>
        </w:rPr>
      </w:pPr>
      <w:r>
        <w:rPr>
          <w:rFonts w:cs="Times New Roman" w:ascii="Times New Roman" w:hAnsi="Times New Roman"/>
          <w:sz w:val="24"/>
        </w:rPr>
        <w:t>Barrett, J., G. Moore, and P. Wilmott, 1992, “Inelegant Efficiency”, Risk, 5 (October 1992), pp. 82-4</w:t>
      </w:r>
    </w:p>
    <w:p>
      <w:pPr>
        <w:pStyle w:val="BodyText2"/>
        <w:ind w:hanging="0" w:end="0"/>
        <w:jc w:val="both"/>
        <w:rPr>
          <w:rFonts w:ascii="Times New Roman" w:hAnsi="Times New Roman" w:cs="Times New Roman"/>
          <w:sz w:val="24"/>
        </w:rPr>
      </w:pPr>
      <w:r>
        <w:rPr>
          <w:rFonts w:cs="Times New Roman" w:ascii="Times New Roman" w:hAnsi="Times New Roman"/>
          <w:sz w:val="24"/>
        </w:rPr>
        <w:t>Benson, R., and N. Daniel, 1991, “Up, Over and Out”, Risk, 4 (June 1991), pp. 17-19 (also reprinted in: From Black-Scholes to Black Holes, Risk Magazine Ltd. 1992, London)</w:t>
      </w:r>
    </w:p>
    <w:p>
      <w:pPr>
        <w:pStyle w:val="BodyText2"/>
        <w:ind w:hanging="0" w:end="0"/>
        <w:jc w:val="both"/>
        <w:rPr>
          <w:rFonts w:ascii="Times New Roman" w:hAnsi="Times New Roman" w:cs="Times New Roman"/>
          <w:sz w:val="24"/>
        </w:rPr>
      </w:pPr>
      <w:r>
        <w:rPr>
          <w:rFonts w:cs="Times New Roman" w:ascii="Times New Roman" w:hAnsi="Times New Roman"/>
          <w:sz w:val="24"/>
        </w:rPr>
        <w:t>Black, F., 1976, “The Pricing of Commodity Contracts”, Journal of Financial Economics, 3 (January-March 1976), pp. 167-79</w:t>
      </w:r>
    </w:p>
    <w:p>
      <w:pPr>
        <w:pStyle w:val="BodyText2"/>
        <w:ind w:hanging="0" w:end="0"/>
        <w:jc w:val="both"/>
        <w:rPr>
          <w:rFonts w:ascii="Times New Roman" w:hAnsi="Times New Roman" w:cs="Times New Roman"/>
          <w:sz w:val="24"/>
        </w:rPr>
      </w:pPr>
      <w:r>
        <w:rPr>
          <w:rFonts w:cs="Times New Roman" w:ascii="Times New Roman" w:hAnsi="Times New Roman"/>
          <w:sz w:val="24"/>
        </w:rPr>
        <w:t>Black, F., and J. Cox, 1976, “Valuing Corporate Securities: Some Effects of Bond Indenture Provisions”, Journal of Finance,  31 (May 1976), pp. 351-67</w:t>
      </w:r>
    </w:p>
    <w:p>
      <w:pPr>
        <w:pStyle w:val="BodyText2"/>
        <w:ind w:hanging="0" w:end="0"/>
        <w:jc w:val="both"/>
        <w:rPr>
          <w:rFonts w:ascii="Times New Roman" w:hAnsi="Times New Roman" w:cs="Times New Roman"/>
          <w:sz w:val="24"/>
        </w:rPr>
      </w:pPr>
      <w:r>
        <w:rPr>
          <w:rFonts w:cs="Times New Roman" w:ascii="Times New Roman" w:hAnsi="Times New Roman"/>
          <w:sz w:val="24"/>
        </w:rPr>
        <w:t>Black, F., and M. Scholes, 1973, “The Pricing of Options and Other Corporate Liabilities”, Journal of Political Economy, 81 (May-June 1973), pp. 637-59</w:t>
      </w:r>
    </w:p>
    <w:p>
      <w:pPr>
        <w:pStyle w:val="BodyText2"/>
        <w:ind w:hanging="0" w:end="0"/>
        <w:jc w:val="both"/>
        <w:rPr>
          <w:rFonts w:ascii="Times New Roman" w:hAnsi="Times New Roman" w:cs="Times New Roman"/>
          <w:sz w:val="24"/>
        </w:rPr>
      </w:pPr>
      <w:r>
        <w:rPr>
          <w:rFonts w:cs="Times New Roman" w:ascii="Times New Roman" w:hAnsi="Times New Roman"/>
          <w:sz w:val="24"/>
        </w:rPr>
        <w:t>Bollerslev, T., 1986, “Generalized Autoregressive Conditional Heteroscedasticity”, Journal of Econometrics, 31 (1986), pp. 307-27</w:t>
      </w:r>
    </w:p>
    <w:p>
      <w:pPr>
        <w:pStyle w:val="BodyText2"/>
        <w:ind w:hanging="0" w:end="0"/>
        <w:jc w:val="both"/>
        <w:rPr>
          <w:rFonts w:ascii="Times New Roman" w:hAnsi="Times New Roman" w:cs="Times New Roman"/>
          <w:sz w:val="24"/>
        </w:rPr>
      </w:pPr>
      <w:r>
        <w:rPr>
          <w:rFonts w:cs="Times New Roman" w:ascii="Times New Roman" w:hAnsi="Times New Roman"/>
          <w:sz w:val="24"/>
        </w:rPr>
        <w:t>Boyle, P. P., 1977, “Options: a Monte Carlo Approach”, Journal of Financial Economics, 4 (May 1977), pp. 323-38</w:t>
      </w:r>
    </w:p>
    <w:p>
      <w:pPr>
        <w:pStyle w:val="BodyText2"/>
        <w:ind w:hanging="0" w:end="0"/>
        <w:jc w:val="both"/>
        <w:rPr>
          <w:rFonts w:ascii="Times New Roman" w:hAnsi="Times New Roman" w:cs="Times New Roman"/>
          <w:sz w:val="24"/>
        </w:rPr>
      </w:pPr>
      <w:r>
        <w:rPr>
          <w:rFonts w:cs="Times New Roman" w:ascii="Times New Roman" w:hAnsi="Times New Roman"/>
          <w:sz w:val="24"/>
        </w:rPr>
        <w:t xml:space="preserve">Boyle, P. P., 1988, “A Lattice Framework for Option Pricing with Two State Variables”,  Journal of Financial  and Quantitative Analysis, 23 (March  1988), pp. 1-12 </w:t>
      </w:r>
    </w:p>
    <w:p>
      <w:pPr>
        <w:pStyle w:val="BodyText2"/>
        <w:ind w:hanging="0" w:end="0"/>
        <w:jc w:val="both"/>
        <w:rPr>
          <w:rFonts w:ascii="Times New Roman" w:hAnsi="Times New Roman" w:cs="Times New Roman"/>
          <w:sz w:val="24"/>
        </w:rPr>
      </w:pPr>
      <w:r>
        <w:rPr>
          <w:rFonts w:cs="Times New Roman" w:ascii="Times New Roman" w:hAnsi="Times New Roman"/>
          <w:color w:val="008000"/>
          <w:sz w:val="24"/>
        </w:rPr>
        <w:t>Boyle, P., M. Broadie, and P. Glasserman, 1997, “Monte Carlo Methods for Security Pricing,” Journal of Economic Dynamics and Control, 21 (1997) pp. 1267-1321</w:t>
      </w:r>
    </w:p>
    <w:p>
      <w:pPr>
        <w:pStyle w:val="BodyText2"/>
        <w:ind w:hanging="0" w:end="0"/>
        <w:jc w:val="both"/>
        <w:rPr>
          <w:rFonts w:ascii="Times New Roman" w:hAnsi="Times New Roman" w:cs="Times New Roman"/>
          <w:sz w:val="24"/>
        </w:rPr>
      </w:pPr>
      <w:r>
        <w:rPr>
          <w:rFonts w:cs="Times New Roman" w:ascii="Times New Roman" w:hAnsi="Times New Roman"/>
          <w:sz w:val="24"/>
        </w:rPr>
        <w:t>Broadie, M.,  and P. Glasserman, 1997, “Pricing American-Style Securities Using Simulation”, Journal of Economic Dynamics and Control, 21, 8-9, (1997), pp. 1323-1352</w:t>
      </w:r>
    </w:p>
    <w:p>
      <w:pPr>
        <w:pStyle w:val="BodyText2"/>
        <w:ind w:hanging="0" w:end="0"/>
        <w:jc w:val="both"/>
        <w:rPr>
          <w:rFonts w:ascii="Times New Roman" w:hAnsi="Times New Roman" w:cs="Times New Roman"/>
          <w:sz w:val="24"/>
        </w:rPr>
      </w:pPr>
      <w:r>
        <w:rPr>
          <w:rFonts w:cs="Times New Roman" w:ascii="Times New Roman" w:hAnsi="Times New Roman"/>
          <w:sz w:val="24"/>
        </w:rPr>
        <w:t>Broadie, M., P. Glasserman, and G. Jain, 1997, “Enhanced Monte Carlo Estimates for American Option Prices”, Journal of Derivatives, 5 (Fall 1997), pp. 25-44</w:t>
      </w:r>
    </w:p>
    <w:p>
      <w:pPr>
        <w:pStyle w:val="Normal"/>
        <w:jc w:val="both"/>
        <w:rPr>
          <w:color w:val="0000FF"/>
          <w:sz w:val="24"/>
        </w:rPr>
      </w:pPr>
      <w:r>
        <w:rPr>
          <w:color w:val="0000FF"/>
          <w:sz w:val="24"/>
        </w:rPr>
        <w:t>Broadie, M., P. Glasserman, and S. Kou, 1995, “A Continuity Correction for Discrete Barrier Options,” working paper, Columbia University.</w:t>
      </w:r>
    </w:p>
    <w:p>
      <w:pPr>
        <w:pStyle w:val="Normal"/>
        <w:jc w:val="both"/>
        <w:rPr>
          <w:sz w:val="24"/>
        </w:rPr>
      </w:pPr>
      <w:r>
        <w:rPr>
          <w:sz w:val="24"/>
        </w:rPr>
        <w:t>Brennan, M. J., “The Pricing of Contingent Claims in Discrete Time Models”, Journal of Finance, 34 (March 1979), pp. 53-68</w:t>
      </w:r>
    </w:p>
    <w:p>
      <w:pPr>
        <w:pStyle w:val="Normal"/>
        <w:jc w:val="both"/>
        <w:rPr>
          <w:sz w:val="24"/>
        </w:rPr>
      </w:pPr>
      <w:r>
        <w:rPr>
          <w:sz w:val="24"/>
        </w:rPr>
        <w:t>Brennan, M. J., and E. S. Schwartz, 1978, “Finite Difference Methods and Jump Processes Arising in the Pricing of Contingent Claims: A Synthesis”,  Journal of Financial and Quantitative Analysis, 13 (September 1978), pp. 461-74</w:t>
      </w:r>
    </w:p>
    <w:p>
      <w:pPr>
        <w:pStyle w:val="Heading6"/>
        <w:ind w:hanging="0" w:start="0"/>
        <w:rPr/>
      </w:pPr>
      <w:r>
        <w:rPr/>
        <w:t>Carverhill, A.P, Clewlow, L.J., “Flexible Convolutions”, Risk, (April 19990), pp. 25-9</w:t>
      </w:r>
    </w:p>
    <w:p>
      <w:pPr>
        <w:pStyle w:val="BodyText2"/>
        <w:ind w:hanging="0" w:end="0"/>
        <w:jc w:val="both"/>
        <w:rPr>
          <w:rFonts w:ascii="Times New Roman" w:hAnsi="Times New Roman" w:cs="Times New Roman"/>
          <w:sz w:val="24"/>
        </w:rPr>
      </w:pPr>
      <w:r>
        <w:rPr>
          <w:rFonts w:cs="Times New Roman" w:ascii="Times New Roman" w:hAnsi="Times New Roman"/>
          <w:sz w:val="24"/>
        </w:rPr>
        <w:t>Chalasani, P., S. Jha, and A. Varikooty, 1998, “Accurate approximations for European-style Asian options,” Journal of Computational Finance,  1 (Summer 1998) pp. 11-30</w:t>
      </w:r>
    </w:p>
    <w:p>
      <w:pPr>
        <w:pStyle w:val="Normal"/>
        <w:jc w:val="both"/>
        <w:rPr>
          <w:sz w:val="24"/>
        </w:rPr>
      </w:pPr>
      <w:r>
        <w:rPr>
          <w:sz w:val="24"/>
        </w:rPr>
        <w:t>Chaplin, G., 1993, “Not So Random”, Risk, 6 (February 1993), pp.  56-57</w:t>
      </w:r>
    </w:p>
    <w:p>
      <w:pPr>
        <w:pStyle w:val="Normal"/>
        <w:jc w:val="both"/>
        <w:rPr>
          <w:color w:val="0000FF"/>
          <w:sz w:val="24"/>
        </w:rPr>
      </w:pPr>
      <w:r>
        <w:rPr>
          <w:color w:val="0000FF"/>
          <w:sz w:val="24"/>
        </w:rPr>
        <w:t>Cho, H., and H. Lee, 1997, “A Lattice Model for Pricing Geometric and Arithmetic Average Options,” Journal of Financial Engineerging, 6 (September 1997) pp. 179-192</w:t>
      </w:r>
    </w:p>
    <w:p>
      <w:pPr>
        <w:pStyle w:val="Heading6"/>
        <w:ind w:hanging="0" w:start="0"/>
        <w:rPr>
          <w:lang w:val="en-US"/>
        </w:rPr>
      </w:pPr>
      <w:r>
        <w:rPr>
          <w:lang w:val="en-US"/>
        </w:rPr>
        <w:t>Clewlow L., Strickland C., 1999, “Valuing Energy Options in a One Factor Model Fitted to Forward Prices",  Working Paper, April 1999</w:t>
      </w:r>
    </w:p>
    <w:p>
      <w:pPr>
        <w:pStyle w:val="Normal"/>
        <w:jc w:val="both"/>
        <w:rPr>
          <w:sz w:val="24"/>
        </w:rPr>
      </w:pPr>
      <w:r>
        <w:rPr>
          <w:sz w:val="24"/>
        </w:rPr>
        <w:t>Conze, A., and Viswanathan, 1991, “Path Dependent Options: The Case of Lookback Options”, Journal of Finance, 46 (December 1991), pp. 1893-1907</w:t>
      </w:r>
    </w:p>
    <w:p>
      <w:pPr>
        <w:pStyle w:val="Normal"/>
        <w:jc w:val="both"/>
        <w:rPr>
          <w:sz w:val="24"/>
        </w:rPr>
      </w:pPr>
      <w:r>
        <w:rPr>
          <w:sz w:val="24"/>
        </w:rPr>
        <w:t>Courtadon, G., 1982, “A More Accurate Finite Difference Approximation for the Value of Options”,  Journal of Financial and Quantitative Analysis, 17 (December 1982), pp. 697-703</w:t>
      </w:r>
    </w:p>
    <w:p>
      <w:pPr>
        <w:pStyle w:val="Normal"/>
        <w:jc w:val="both"/>
        <w:rPr>
          <w:sz w:val="24"/>
        </w:rPr>
      </w:pPr>
      <w:r>
        <w:rPr>
          <w:sz w:val="24"/>
        </w:rPr>
        <w:t>Cox, J., S. Ross and M. Rubinstein, 1979, “Option pricing: A Simplified Approach”,  Journal of Financial Economics, 7 (October 1979), pp. 229-63</w:t>
      </w:r>
    </w:p>
    <w:p>
      <w:pPr>
        <w:pStyle w:val="Normal"/>
        <w:jc w:val="both"/>
        <w:rPr>
          <w:sz w:val="24"/>
        </w:rPr>
      </w:pPr>
      <w:r>
        <w:rPr>
          <w:sz w:val="24"/>
        </w:rPr>
        <w:t>Cox, J., and M. Rubinstein, 1985, Option Markets, Englewood Cliffs, NJ, Prentice Hall</w:t>
      </w:r>
    </w:p>
    <w:p>
      <w:pPr>
        <w:pStyle w:val="Normal"/>
        <w:jc w:val="both"/>
        <w:rPr>
          <w:color w:val="FF00FF"/>
          <w:sz w:val="24"/>
        </w:rPr>
      </w:pPr>
      <w:r>
        <w:rPr>
          <w:color w:val="FF00FF"/>
          <w:sz w:val="24"/>
        </w:rPr>
        <w:t>Curran, M., 1992, “Beyond Average Intelligence”, Risk, 5 (November 1992), pp. 60-1</w:t>
      </w:r>
    </w:p>
    <w:p>
      <w:pPr>
        <w:pStyle w:val="Normal"/>
        <w:jc w:val="both"/>
        <w:rPr>
          <w:sz w:val="24"/>
        </w:rPr>
      </w:pPr>
      <w:r>
        <w:rPr>
          <w:sz w:val="24"/>
        </w:rPr>
        <w:t>Curran, M., 1994, “Strata Gems”, Risk, 7 (March 1994), pp. 70-71</w:t>
      </w:r>
    </w:p>
    <w:p>
      <w:pPr>
        <w:pStyle w:val="Normal"/>
        <w:jc w:val="both"/>
        <w:rPr>
          <w:sz w:val="24"/>
        </w:rPr>
      </w:pPr>
      <w:r>
        <w:rPr>
          <w:sz w:val="24"/>
        </w:rPr>
        <w:t>Derman, E., and I. Kani, 1994, “Riding on a Smile”, Risk, 7 (February 1994), pp. 32-9</w:t>
      </w:r>
    </w:p>
    <w:p>
      <w:pPr>
        <w:pStyle w:val="Normal"/>
        <w:jc w:val="both"/>
        <w:rPr>
          <w:sz w:val="24"/>
        </w:rPr>
      </w:pPr>
      <w:r>
        <w:rPr>
          <w:sz w:val="24"/>
        </w:rPr>
        <w:t>Dewynne, J., and P. Wilmott, 1993, “Partial to the Exotic”, Risk, 6 (March 1993), pp. 38-46</w:t>
      </w:r>
    </w:p>
    <w:p>
      <w:pPr>
        <w:pStyle w:val="Normal"/>
        <w:jc w:val="both"/>
        <w:rPr>
          <w:sz w:val="24"/>
        </w:rPr>
      </w:pPr>
      <w:r>
        <w:rPr>
          <w:sz w:val="24"/>
        </w:rPr>
        <w:t>Dupire, B., 1994, “Pricing with a Smile”, Risk, 7 (January 1994), pp. 18-20</w:t>
      </w:r>
    </w:p>
    <w:p>
      <w:pPr>
        <w:pStyle w:val="Normal"/>
        <w:jc w:val="both"/>
        <w:rPr>
          <w:sz w:val="24"/>
        </w:rPr>
      </w:pPr>
      <w:r>
        <w:rPr>
          <w:sz w:val="24"/>
        </w:rPr>
        <w:t>Engle, R. F., 1982, “Autoregressive Conditional Heteroscedasticity with Estimates of the Variance of United Kingdom Inflation”, Econometrica, 50 (July 1982), pp. 987-1007</w:t>
      </w:r>
    </w:p>
    <w:p>
      <w:pPr>
        <w:pStyle w:val="Normal"/>
        <w:jc w:val="both"/>
        <w:rPr>
          <w:color w:val="0000FF"/>
          <w:sz w:val="24"/>
        </w:rPr>
      </w:pPr>
      <w:r>
        <w:rPr>
          <w:color w:val="0000FF"/>
          <w:sz w:val="24"/>
        </w:rPr>
        <w:t>Galanti, S., and A. Jung. 1997, “Low-Discrepancy Sequences: Monte Carlo Simulation of Option Prices,” Journal of Derivatives, 5 (Fall 1997), pp. 63-84</w:t>
      </w:r>
    </w:p>
    <w:p>
      <w:pPr>
        <w:pStyle w:val="Normal"/>
        <w:jc w:val="both"/>
        <w:rPr>
          <w:sz w:val="24"/>
        </w:rPr>
      </w:pPr>
      <w:r>
        <w:rPr>
          <w:sz w:val="24"/>
        </w:rPr>
        <w:t>Garman, M., 1989, “Recollection in Tranquillity”, Risk, 2 (March 1989) (also reprinted in: From Black-Scholes to Black Holes, Risk Magazine Ltd 1992, London)</w:t>
      </w:r>
    </w:p>
    <w:p>
      <w:pPr>
        <w:pStyle w:val="Normal"/>
        <w:jc w:val="both"/>
        <w:rPr>
          <w:color w:val="FF00FF"/>
          <w:sz w:val="24"/>
        </w:rPr>
      </w:pPr>
      <w:r>
        <w:rPr>
          <w:color w:val="FF00FF"/>
          <w:sz w:val="24"/>
        </w:rPr>
        <w:t>Geman, H., Yor, M., 1993, “Bessel Processes, Asian Options, and Perpetuities”, Mathematical Finance, 3, (October 1993), pp. 349-75</w:t>
      </w:r>
    </w:p>
    <w:p>
      <w:pPr>
        <w:pStyle w:val="Normal"/>
        <w:jc w:val="both"/>
        <w:rPr>
          <w:sz w:val="24"/>
        </w:rPr>
      </w:pPr>
      <w:r>
        <w:rPr>
          <w:sz w:val="24"/>
        </w:rPr>
        <w:t>Geske, R., 1979, “The Valuation of Compound Options”, Journal of Financial Economics, 7 (March 1979), pp. 63-81</w:t>
      </w:r>
    </w:p>
    <w:p>
      <w:pPr>
        <w:pStyle w:val="Normal"/>
        <w:jc w:val="both"/>
        <w:rPr>
          <w:sz w:val="24"/>
        </w:rPr>
      </w:pPr>
      <w:r>
        <w:rPr>
          <w:sz w:val="24"/>
        </w:rPr>
        <w:t>Geske, R., and K. Shastri, 1985, “Valuation by Approximation: A Comparison of Alternative Option Valuation Techniques”, Journal of Financial and Quantitative Analysis, 20 (March 1985), pp. 45-71</w:t>
      </w:r>
    </w:p>
    <w:p>
      <w:pPr>
        <w:pStyle w:val="Normal"/>
        <w:jc w:val="both"/>
        <w:rPr>
          <w:sz w:val="24"/>
        </w:rPr>
      </w:pPr>
      <w:r>
        <w:rPr>
          <w:sz w:val="24"/>
        </w:rPr>
        <w:t>Goldman, M. B., H. B. Sosin and M. A. Gatto, 1979, “Path Dependent Options: Buy at the Low, Sell at the High”, Journal of Finance, 34 (December 1979), pp. 1111-27</w:t>
      </w:r>
    </w:p>
    <w:p>
      <w:pPr>
        <w:pStyle w:val="Normal"/>
        <w:jc w:val="both"/>
        <w:rPr>
          <w:sz w:val="24"/>
        </w:rPr>
      </w:pPr>
      <w:r>
        <w:rPr>
          <w:sz w:val="24"/>
        </w:rPr>
        <w:t>Hammersley, J.M., and D.C. Handscomb, 1964, Monte Carlo Methods, New York, NY, John Wiley &amp; Sons</w:t>
      </w:r>
    </w:p>
    <w:p>
      <w:pPr>
        <w:pStyle w:val="Normal"/>
        <w:jc w:val="both"/>
        <w:rPr>
          <w:sz w:val="24"/>
        </w:rPr>
      </w:pPr>
      <w:r>
        <w:rPr>
          <w:sz w:val="24"/>
        </w:rPr>
        <w:t>Heath, D., R. Jarrow, and A. Morton, 1992, “Bond Pricing and the Term Structure of Interest Rates: A New Methodology for Contingent Claims Valuation”, Econometrica, 60 (Jan. 1992), pp. 77-105</w:t>
      </w:r>
    </w:p>
    <w:p>
      <w:pPr>
        <w:pStyle w:val="Normal"/>
        <w:jc w:val="both"/>
        <w:rPr>
          <w:sz w:val="24"/>
        </w:rPr>
      </w:pPr>
      <w:r>
        <w:rPr>
          <w:sz w:val="24"/>
        </w:rPr>
        <w:t>Hull, J., 1993, Options, Futures and other Derivative Securities, 2nd edition, Englewood Cliffs, NJ, Prentice Hall</w:t>
      </w:r>
    </w:p>
    <w:p>
      <w:pPr>
        <w:pStyle w:val="Normal"/>
        <w:jc w:val="both"/>
        <w:rPr>
          <w:sz w:val="24"/>
        </w:rPr>
      </w:pPr>
      <w:r>
        <w:rPr>
          <w:sz w:val="24"/>
        </w:rPr>
        <w:t>Hull, J., and A. White, 1988, “The Use of the Control Variate Technique in Option Pricing”, Journal of Financial and Quantitative Analysis, 23 (September 1988), pp. 237-51</w:t>
      </w:r>
    </w:p>
    <w:p>
      <w:pPr>
        <w:pStyle w:val="Normal"/>
        <w:jc w:val="both"/>
        <w:rPr>
          <w:sz w:val="24"/>
        </w:rPr>
      </w:pPr>
      <w:r>
        <w:rPr>
          <w:sz w:val="24"/>
        </w:rPr>
        <w:t>Hull, J., and A. White, 1990, “Valuing Derivative Securities Using the Explicit Finite Difference Method”, Journal of Financial and Quantitative Analysis, 25 (March 1990), pp. 87-100</w:t>
      </w:r>
    </w:p>
    <w:p>
      <w:pPr>
        <w:pStyle w:val="Normal"/>
        <w:jc w:val="both"/>
        <w:rPr>
          <w:color w:val="0000FF"/>
          <w:sz w:val="24"/>
        </w:rPr>
      </w:pPr>
      <w:r>
        <w:rPr>
          <w:color w:val="0000FF"/>
          <w:sz w:val="24"/>
        </w:rPr>
        <w:t>Hull, J., and A. White, 1993, “Efficient Procedure For Valuing European and American Path-Dependent Options,” Journal of Derivatives, 1 (1993) pp. 21-31</w:t>
      </w:r>
    </w:p>
    <w:p>
      <w:pPr>
        <w:pStyle w:val="Normal"/>
        <w:jc w:val="both"/>
        <w:rPr>
          <w:sz w:val="24"/>
        </w:rPr>
      </w:pPr>
      <w:r>
        <w:rPr>
          <w:sz w:val="24"/>
        </w:rPr>
        <w:t>Johnson, H., 1987, “Options on the Maximum or the Minimum of Several Assets”, Journal of Financial and Quantitative Research, 22 (September 1987), pp. 277-83</w:t>
      </w:r>
    </w:p>
    <w:p>
      <w:pPr>
        <w:pStyle w:val="Normal"/>
        <w:jc w:val="both"/>
        <w:rPr/>
      </w:pPr>
      <w:r>
        <w:rPr>
          <w:color w:val="FF00FF"/>
          <w:sz w:val="24"/>
        </w:rPr>
        <w:t>Kemna, A.G. Z., Vorst, A.C.F, “A Pricing Method for Options Based on Average Asset Values”, Journal of Banking And Finance, 14, (1990), pp. 113 -29</w:t>
      </w:r>
      <w:r>
        <w:rPr>
          <w:sz w:val="24"/>
        </w:rPr>
        <w:t>Levy, E., 1991, “Pricing European Average Rate Currency Options”, Journal of International Money and Finance, (October 1991)</w:t>
      </w:r>
    </w:p>
    <w:p>
      <w:pPr>
        <w:pStyle w:val="Normal"/>
        <w:jc w:val="both"/>
        <w:rPr>
          <w:sz w:val="24"/>
        </w:rPr>
      </w:pPr>
      <w:r>
        <w:rPr>
          <w:sz w:val="24"/>
        </w:rPr>
        <w:t xml:space="preserve"> </w:t>
      </w:r>
      <w:r>
        <w:rPr>
          <w:sz w:val="24"/>
        </w:rPr>
        <w:t>Levy, E., and S. Turnbull, 1992, “Average Intelligence”, Risk 5 (February 1992) (also reprinted in: From Black-Scholes to Black Holes, Risk Magazine Ltd. 1992, London)</w:t>
      </w:r>
    </w:p>
    <w:p>
      <w:pPr>
        <w:pStyle w:val="Normal"/>
        <w:jc w:val="both"/>
        <w:rPr>
          <w:sz w:val="24"/>
        </w:rPr>
      </w:pPr>
      <w:r>
        <w:rPr>
          <w:sz w:val="24"/>
        </w:rPr>
        <w:t>Leong, K., 1992, “Estimates Guesstimates and Rules of Thumb”, From Black-Scholes to Black Holes, Risk Magazine Ltd., London</w:t>
      </w:r>
    </w:p>
    <w:p>
      <w:pPr>
        <w:pStyle w:val="Normal"/>
        <w:jc w:val="both"/>
        <w:rPr>
          <w:sz w:val="24"/>
        </w:rPr>
      </w:pPr>
      <w:r>
        <w:rPr>
          <w:sz w:val="24"/>
        </w:rPr>
        <w:t xml:space="preserve">Margrabe, W., 1978, “The Value of an Option to Exchange One Asset for Another”, Journal of Finance, 33 (1978), pp. 177-86 </w:t>
      </w:r>
    </w:p>
    <w:p>
      <w:pPr>
        <w:pStyle w:val="Normal"/>
        <w:jc w:val="both"/>
        <w:rPr>
          <w:sz w:val="24"/>
        </w:rPr>
      </w:pPr>
      <w:r>
        <w:rPr>
          <w:sz w:val="24"/>
        </w:rPr>
        <w:t xml:space="preserve">Merton, R., 1973, “The Theory of Rational Option Pricing”, Bell Journal of Economics and Management Science, 4 (Spring 1973), pp. 141-83 </w:t>
      </w:r>
    </w:p>
    <w:p>
      <w:pPr>
        <w:pStyle w:val="Normal"/>
        <w:jc w:val="both"/>
        <w:rPr>
          <w:color w:val="FF00FF"/>
          <w:sz w:val="24"/>
        </w:rPr>
      </w:pPr>
      <w:r>
        <w:rPr>
          <w:color w:val="FF00FF"/>
          <w:sz w:val="24"/>
        </w:rPr>
        <w:t xml:space="preserve">Milevsky, M.A., Posner, S.E, 1998, “Asian Options, The Sum of Lognormals and the Reciprocal Gamma Distribution”, Journal of Financial and Quantitative Analysis, 1998, </w:t>
      </w:r>
    </w:p>
    <w:p>
      <w:pPr>
        <w:pStyle w:val="Normal"/>
        <w:jc w:val="both"/>
        <w:rPr>
          <w:color w:val="FF00FF"/>
          <w:sz w:val="24"/>
        </w:rPr>
      </w:pPr>
      <w:r>
        <w:rPr>
          <w:sz w:val="24"/>
        </w:rPr>
        <w:t>Milevsky, M., and S. Posner, 1998a,  “A Closed-Form Approximation for Valuing Basket Options,” Journal of Derivatives, 6 (Summer 1998) pp. 54-61</w:t>
      </w:r>
    </w:p>
    <w:p>
      <w:pPr>
        <w:pStyle w:val="Normal"/>
        <w:jc w:val="both"/>
        <w:rPr/>
      </w:pPr>
      <w:r>
        <w:rPr>
          <w:color w:val="FF00FF"/>
          <w:sz w:val="24"/>
        </w:rPr>
        <w:t>Pilipovic, D., 1998, “Energy Risk. Valuing and Managing Energy Derivatives”,</w:t>
      </w:r>
      <w:r>
        <w:rPr>
          <w:sz w:val="24"/>
        </w:rPr>
        <w:t xml:space="preserve"> McGraw Hill</w:t>
      </w:r>
    </w:p>
    <w:p>
      <w:pPr>
        <w:pStyle w:val="Normal"/>
        <w:jc w:val="both"/>
        <w:rPr>
          <w:sz w:val="24"/>
        </w:rPr>
      </w:pPr>
      <w:r>
        <w:rPr>
          <w:sz w:val="24"/>
        </w:rPr>
        <w:t>Press, W., B. P. Flannery, S. A. Teukolsky, and W. T. Vetterling, 1992, Numerical Recipes in C, 2nd edition,  New York, NY, Cambridge University PressRavindran, K., 1993, “Low-fat Spreads”, Risk, 6 (October 1993), pp. 66-7</w:t>
      </w:r>
    </w:p>
    <w:p>
      <w:pPr>
        <w:pStyle w:val="Normal"/>
        <w:jc w:val="both"/>
        <w:rPr>
          <w:color w:val="0000FF"/>
          <w:sz w:val="24"/>
        </w:rPr>
      </w:pPr>
      <w:r>
        <w:rPr>
          <w:color w:val="0000FF"/>
          <w:sz w:val="24"/>
        </w:rPr>
        <w:t>Raymar, S, and M. Zwecker, 1997, “Monte Carlo Estimation of American Call Options on the Maximum of Several Stock,” Journal of Derivatives, 5 (Fall 1997) pp. 7-24</w:t>
      </w:r>
    </w:p>
    <w:p>
      <w:pPr>
        <w:pStyle w:val="Normal"/>
        <w:jc w:val="both"/>
        <w:rPr>
          <w:color w:val="FF00FF"/>
          <w:sz w:val="24"/>
        </w:rPr>
      </w:pPr>
      <w:r>
        <w:rPr>
          <w:color w:val="FF00FF"/>
          <w:sz w:val="24"/>
        </w:rPr>
        <w:t>Routledge, B.R., Seppi, D.J., Spatt, C.S., “Equilibrium Forward Curves for Commodities”, Carnegie Mellon University, manuscript, (1999)</w:t>
      </w:r>
    </w:p>
    <w:p>
      <w:pPr>
        <w:pStyle w:val="Normal"/>
        <w:jc w:val="both"/>
        <w:rPr>
          <w:sz w:val="24"/>
        </w:rPr>
      </w:pPr>
      <w:r>
        <w:rPr>
          <w:sz w:val="24"/>
        </w:rPr>
        <w:t>Rubinstein, M., 1991a, “Pay Now, Choose Later”, Risk, 4 (February 1991), pp. 13</w:t>
      </w:r>
    </w:p>
    <w:p>
      <w:pPr>
        <w:pStyle w:val="Normal"/>
        <w:jc w:val="both"/>
        <w:rPr>
          <w:sz w:val="24"/>
        </w:rPr>
      </w:pPr>
      <w:r>
        <w:rPr>
          <w:sz w:val="24"/>
        </w:rPr>
        <w:t>Rubinstein, M., 1991b, “Somewhere Over the Rainbow”, Risk, 4 (November 1991), pp.63-6</w:t>
      </w:r>
    </w:p>
    <w:p>
      <w:pPr>
        <w:pStyle w:val="Normal"/>
        <w:jc w:val="both"/>
        <w:rPr>
          <w:sz w:val="24"/>
        </w:rPr>
      </w:pPr>
      <w:r>
        <w:rPr>
          <w:sz w:val="24"/>
        </w:rPr>
        <w:t>Rubinstein, M., 1992, “One for Another”, From Black-Scholes to Black Holes, Risk Magazine Ltd., London</w:t>
      </w:r>
    </w:p>
    <w:p>
      <w:pPr>
        <w:pStyle w:val="Normal"/>
        <w:jc w:val="both"/>
        <w:rPr>
          <w:sz w:val="24"/>
        </w:rPr>
      </w:pPr>
      <w:r>
        <w:rPr>
          <w:sz w:val="24"/>
        </w:rPr>
        <w:t>Rubinstein, M., 1994, “Implied Binomial Trees”, Finance working paper No. 232,  Institute of Business and Economic Research, University of California at Berkeley (January 1994)</w:t>
      </w:r>
    </w:p>
    <w:p>
      <w:pPr>
        <w:pStyle w:val="Normal"/>
        <w:jc w:val="both"/>
        <w:rPr>
          <w:sz w:val="24"/>
        </w:rPr>
      </w:pPr>
      <w:r>
        <w:rPr>
          <w:sz w:val="24"/>
        </w:rPr>
        <w:t>Rubinstein, M., and E. Reiner, 1991a, “Breaking Down the Barriers”, Risk, 4 (September 1991), pp. 28-35</w:t>
      </w:r>
    </w:p>
    <w:p>
      <w:pPr>
        <w:pStyle w:val="Normal"/>
        <w:jc w:val="both"/>
        <w:rPr>
          <w:sz w:val="24"/>
        </w:rPr>
      </w:pPr>
      <w:r>
        <w:rPr>
          <w:sz w:val="24"/>
        </w:rPr>
        <w:t>Rubinstein, M., and E. Reiner, 1991b, “Unscrambling the Binary Code”, Risk, 4 (October 1991), pp. 75-83</w:t>
      </w:r>
    </w:p>
    <w:p>
      <w:pPr>
        <w:pStyle w:val="Normal"/>
        <w:jc w:val="both"/>
        <w:rPr>
          <w:color w:val="FF00FF"/>
          <w:sz w:val="24"/>
        </w:rPr>
      </w:pPr>
      <w:r>
        <w:rPr>
          <w:color w:val="FF00FF"/>
          <w:sz w:val="24"/>
        </w:rPr>
        <w:t>Samuelson, P., “Proof That Properly Anticipated Prices Fluctuate Randomly”, Industrial Management Review, 6, pp. 41-50</w:t>
      </w:r>
    </w:p>
    <w:p>
      <w:pPr>
        <w:pStyle w:val="Normal"/>
        <w:jc w:val="both"/>
        <w:rPr>
          <w:sz w:val="24"/>
        </w:rPr>
      </w:pPr>
      <w:r>
        <w:rPr>
          <w:sz w:val="24"/>
        </w:rPr>
        <w:t>Schmeiser, B., 1990, “Simulation Experiments”, Handbooks in Operations Research and Management Science Vol. 2: Stochastic Models,  D.P. Heyman and M.J. Sobel eds, North-Holland</w:t>
      </w:r>
    </w:p>
    <w:p>
      <w:pPr>
        <w:pStyle w:val="Normal"/>
        <w:jc w:val="both"/>
        <w:rPr>
          <w:sz w:val="24"/>
        </w:rPr>
      </w:pPr>
      <w:r>
        <w:rPr>
          <w:sz w:val="24"/>
        </w:rPr>
        <w:t>Schwartz, E. S., 1977, “The Valuation of Warrants: Implementing a New Approach”, Journal of Financial Economics, 4 (August 1977), pp. 79-93</w:t>
      </w:r>
    </w:p>
    <w:p>
      <w:pPr>
        <w:pStyle w:val="Normal"/>
        <w:jc w:val="both"/>
        <w:rPr>
          <w:sz w:val="24"/>
        </w:rPr>
      </w:pPr>
      <w:r>
        <w:rPr>
          <w:sz w:val="24"/>
        </w:rPr>
        <w:t>Stultz, R., 1982, “Options on the Minimum or the Maximum of Two Risky Assets”, Journal of Financial Economics, 10 (1982), pp. 161-85</w:t>
      </w:r>
    </w:p>
    <w:p>
      <w:pPr>
        <w:pStyle w:val="Normal"/>
        <w:jc w:val="both"/>
        <w:rPr>
          <w:color w:val="0000FF"/>
          <w:sz w:val="24"/>
        </w:rPr>
      </w:pPr>
      <w:r>
        <w:rPr>
          <w:color w:val="0000FF"/>
          <w:sz w:val="24"/>
        </w:rPr>
        <w:t>Tilley, J., 1993, “Valuing American Options in a Path Simulation Model”, Transactions of the Society of Actuaries, 45 (1993), pp. 83-104</w:t>
      </w:r>
    </w:p>
    <w:p>
      <w:pPr>
        <w:pStyle w:val="Normal"/>
        <w:jc w:val="both"/>
        <w:rPr>
          <w:sz w:val="24"/>
        </w:rPr>
      </w:pPr>
      <w:r>
        <w:rPr>
          <w:sz w:val="24"/>
        </w:rPr>
        <w:t>Trigeorgis, L., 1991, “A Log-Transformed Binomial Numerical Analysis Method for Valuing Complex Multi-Option Investments”, Journal of Financial and Quantitative Analysis, 26 (September 1991), pp. 309-26</w:t>
      </w:r>
    </w:p>
    <w:p>
      <w:pPr>
        <w:pStyle w:val="Normal"/>
        <w:jc w:val="both"/>
        <w:rPr>
          <w:sz w:val="24"/>
        </w:rPr>
      </w:pPr>
      <w:r>
        <w:rPr>
          <w:sz w:val="24"/>
        </w:rPr>
        <w:t>Turnbull, S., 1992, “The Price is Right”, Risk, 5 (April 1992), pp. 56-7</w:t>
      </w:r>
    </w:p>
    <w:p>
      <w:pPr>
        <w:pStyle w:val="Normal"/>
        <w:jc w:val="both"/>
        <w:rPr>
          <w:sz w:val="24"/>
        </w:rPr>
      </w:pPr>
      <w:r>
        <w:rPr>
          <w:sz w:val="24"/>
        </w:rPr>
        <w:t>Turnbull, S.M., and L. M. Wakeman, 1991, “A Quick Algorithm for Pricing European Average Options”, Journal of Financial and Quantitative Analysis, 26 (September 1991), pp. 377-89</w:t>
      </w:r>
    </w:p>
    <w:p>
      <w:pPr>
        <w:pStyle w:val="Normal"/>
        <w:rPr>
          <w:sz w:val="24"/>
        </w:rPr>
      </w:pPr>
      <w:r>
        <w:rPr>
          <w:sz w:val="24"/>
        </w:rPr>
        <w:t>Wilcox, Darren, 1991, “Spread Options Enhance Risk Management Choices”, NYMEX Energy in the News (Fall 1991), pages 9-13</w:t>
      </w:r>
    </w:p>
    <w:p>
      <w:pPr>
        <w:pStyle w:val="Normal"/>
        <w:jc w:val="both"/>
        <w:rPr>
          <w:sz w:val="24"/>
        </w:rPr>
      </w:pPr>
      <w:r>
        <w:rPr>
          <w:sz w:val="24"/>
        </w:rPr>
        <w:t>Wilmott, P., J. Dewynne, and S. Howison, 1993, Option Pricing: Mathematical Models and Computation,  Oxford, UK, Oxford Financial Press</w:t>
      </w:r>
    </w:p>
    <w:p>
      <w:pPr>
        <w:pStyle w:val="Normal"/>
        <w:jc w:val="both"/>
        <w:rPr>
          <w:sz w:val="24"/>
        </w:rPr>
      </w:pPr>
      <w:r>
        <w:rPr>
          <w:sz w:val="24"/>
        </w:rPr>
      </w:r>
    </w:p>
    <w:p>
      <w:pPr>
        <w:pStyle w:val="Heading4"/>
        <w:widowControl/>
        <w:ind w:hanging="0" w:start="0"/>
        <w:rPr>
          <w:lang w:val="en-US"/>
        </w:rPr>
      </w:pPr>
      <w:r>
        <w:rPr>
          <w:lang w:val="en-US"/>
        </w:rPr>
        <w:t>PANEL 1</w:t>
      </w:r>
    </w:p>
    <w:p>
      <w:pPr>
        <w:pStyle w:val="Normal"/>
        <w:jc w:val="both"/>
        <w:rPr>
          <w:b/>
          <w:color w:val="0000FF"/>
          <w:sz w:val="24"/>
          <w:lang w:val="en-US"/>
        </w:rPr>
      </w:pPr>
      <w:r>
        <w:rPr>
          <w:b/>
          <w:color w:val="0000FF"/>
          <w:sz w:val="24"/>
          <w:lang w:val="en-US"/>
        </w:rPr>
      </w:r>
    </w:p>
    <w:p>
      <w:pPr>
        <w:pStyle w:val="Heading4"/>
        <w:widowControl/>
        <w:ind w:hanging="0" w:start="0"/>
        <w:rPr>
          <w:lang w:val="en-US"/>
        </w:rPr>
      </w:pPr>
      <w:r>
        <w:rPr>
          <w:lang w:val="en-US"/>
        </w:rPr>
        <w:t>Five years later – what has changed?</w:t>
      </w:r>
    </w:p>
    <w:p>
      <w:pPr>
        <w:pStyle w:val="BodyText"/>
        <w:jc w:val="both"/>
        <w:rPr>
          <w:rFonts w:ascii="Times New Roman" w:hAnsi="Times New Roman" w:cs="Times New Roman"/>
          <w:sz w:val="24"/>
          <w:lang w:val="en-US"/>
        </w:rPr>
      </w:pPr>
      <w:r>
        <w:rPr>
          <w:rFonts w:cs="Times New Roman" w:ascii="Times New Roman" w:hAnsi="Times New Roman"/>
          <w:sz w:val="24"/>
          <w:lang w:val="en-US"/>
        </w:rPr>
      </w:r>
    </w:p>
    <w:p>
      <w:pPr>
        <w:pStyle w:val="BodyText"/>
        <w:jc w:val="both"/>
        <w:rPr>
          <w:rFonts w:ascii="Times New Roman" w:hAnsi="Times New Roman" w:cs="Times New Roman"/>
          <w:sz w:val="24"/>
        </w:rPr>
      </w:pPr>
      <w:r>
        <w:rPr>
          <w:rFonts w:cs="Times New Roman" w:ascii="Times New Roman" w:hAnsi="Times New Roman"/>
          <w:sz w:val="24"/>
        </w:rPr>
        <w:t xml:space="preserve">In the first edition of this book, we defined exotic options in terms of the departures from the payoff definition of a standard call or put. We devoted a lot of attention to different complicated options such as barrier options or lookbacks. Over the last few years we realised that the energy industry has rejected many option structures which were actively promoted in the past by many marketers. The authors spent a lot of time trying to develop pricing models at the request of the sales force, trying to match in each case the most recent Wall Street structure du jour, in most cases representing a direct transplant from the fixed income or currency markets. Most of these products were never received a seal of approval from the customers. This can be explained by the fact that these options (1) did not address adequately the needs of producers and end-users of energy and/or (2) did not offer attractive trade-off between cost and risk abatement.  </w:t>
      </w:r>
    </w:p>
    <w:p>
      <w:pPr>
        <w:pStyle w:val="Normal"/>
        <w:jc w:val="both"/>
        <w:rPr>
          <w:rFonts w:ascii="Times New Roman" w:hAnsi="Times New Roman" w:cs="Times New Roman"/>
          <w:color w:val="0000FF"/>
          <w:sz w:val="24"/>
        </w:rPr>
      </w:pPr>
      <w:r>
        <w:rPr>
          <w:rFonts w:cs="Times New Roman"/>
          <w:color w:val="0000FF"/>
          <w:sz w:val="24"/>
        </w:rPr>
      </w:r>
    </w:p>
    <w:p>
      <w:pPr>
        <w:pStyle w:val="BodyText3"/>
        <w:rPr>
          <w:rFonts w:ascii="Times New Roman" w:hAnsi="Times New Roman" w:cs="Times New Roman"/>
          <w:i w:val="false"/>
          <w:i w:val="false"/>
          <w:sz w:val="24"/>
        </w:rPr>
      </w:pPr>
      <w:r>
        <w:rPr>
          <w:rFonts w:cs="Times New Roman" w:ascii="Times New Roman" w:hAnsi="Times New Roman"/>
          <w:i w:val="false"/>
          <w:sz w:val="24"/>
        </w:rPr>
        <w:t>As we have said before, options were traditionally used in the energy contracts, long before the academic theory of derivative pricing saw the light of the day. Most options represented the practical needs of doing business and were in most cases neither explicitly identified nor priced. In many cases they corresponded to the need not only to manage price exposures but also to the need to control fluctuations in volume of production and/or demand. This is why many options in the energy industry have provisions allowing adjusting volumes (takes, or load factors in the industry jargon). This is especially true of the swing options that receive much more attention in this edition. Also, many contracts have been customarily structured in certain ways, and energy related derivatives have to respect industry-wide conventions. Attempts to mechanically transfer the structures from other markets fail for these reasons.</w:t>
      </w:r>
    </w:p>
    <w:p>
      <w:pPr>
        <w:pStyle w:val="Normal"/>
        <w:jc w:val="both"/>
        <w:rPr>
          <w:rFonts w:ascii="Times New Roman" w:hAnsi="Times New Roman" w:cs="Times New Roman"/>
          <w:i/>
          <w:i/>
          <w:color w:val="0000FF"/>
          <w:sz w:val="24"/>
        </w:rPr>
      </w:pPr>
      <w:r>
        <w:rPr>
          <w:rFonts w:cs="Times New Roman"/>
          <w:i/>
          <w:color w:val="0000FF"/>
          <w:sz w:val="24"/>
        </w:rPr>
      </w:r>
    </w:p>
    <w:p>
      <w:pPr>
        <w:pStyle w:val="Normal"/>
        <w:jc w:val="both"/>
        <w:rPr>
          <w:color w:val="0000FF"/>
          <w:sz w:val="24"/>
        </w:rPr>
      </w:pPr>
      <w:r>
        <w:rPr>
          <w:color w:val="0000FF"/>
          <w:sz w:val="24"/>
        </w:rPr>
        <w:t xml:space="preserve">Another reason the industry has not embraced some structures is that the nature of energy markets may increase the cost of hedging and managing the options, resulting ultimately in higher prices. High volatility, frequent price jumps, and low trading volume can make options excessively expensive. Relatively low depth of many markets can make barrier options, popular in the currency markets, prohibitively expensive in the case of energy. The same features of energy markets favour some other options, such as average price options (Asian option) in case of which price volatility is attenuated through the averaging process. The industry has historically developed other ways of handling price risks, including some provisions for risk sharing between producers and end-users. </w:t>
      </w:r>
    </w:p>
    <w:p>
      <w:pPr>
        <w:pStyle w:val="Normal"/>
        <w:jc w:val="both"/>
        <w:rPr>
          <w:color w:val="0000FF"/>
          <w:sz w:val="24"/>
        </w:rPr>
      </w:pPr>
      <w:r>
        <w:rPr>
          <w:color w:val="0000FF"/>
          <w:sz w:val="24"/>
        </w:rPr>
      </w:r>
    </w:p>
    <w:p>
      <w:pPr>
        <w:pStyle w:val="Normal"/>
        <w:jc w:val="both"/>
        <w:rPr>
          <w:color w:val="0000FF"/>
          <w:sz w:val="24"/>
        </w:rPr>
      </w:pPr>
      <w:r>
        <w:rPr>
          <w:color w:val="0000FF"/>
          <w:sz w:val="24"/>
        </w:rPr>
        <w:t>In recognition of these trends in the energy option markets, we concentrate in this chapter on the options that earned a permanent presence in our industry. We shall devote most attention to and expand the treatment of average price (Asian options) and to spread options. The section devoted to digital options has been somewhat abridged, and we shall offer only very brief descriptions of options such as lookbacks and barriers. An interested reader is invited to revisit the first edition of this book.</w:t>
      </w:r>
    </w:p>
    <w:p>
      <w:pPr>
        <w:pStyle w:val="Normal"/>
        <w:jc w:val="both"/>
        <w:rPr>
          <w:color w:val="0000FF"/>
          <w:sz w:val="24"/>
        </w:rPr>
      </w:pPr>
      <w:r>
        <w:rPr>
          <w:color w:val="0000FF"/>
          <w:sz w:val="24"/>
        </w:rPr>
      </w:r>
    </w:p>
    <w:p>
      <w:pPr>
        <w:pStyle w:val="WW-BodyText2"/>
        <w:jc w:val="both"/>
        <w:rPr>
          <w:rFonts w:ascii="Times New Roman" w:hAnsi="Times New Roman" w:cs="Times New Roman"/>
          <w:sz w:val="24"/>
        </w:rPr>
      </w:pPr>
      <w:r>
        <w:rPr>
          <w:rFonts w:cs="Times New Roman" w:ascii="Times New Roman" w:hAnsi="Times New Roman"/>
          <w:color w:val="0000FF"/>
          <w:sz w:val="24"/>
        </w:rPr>
        <w:t>This does not exhaust the list of changes to our chapter. Over time, we have recognised that most options in the energy markets are in some sense exotic. This reflects the fact that the behaviour of energy prices in most markets does not conform well to the theoretical assumptions underlying pricing of the financial derivatives. One obvious difference is that extremely high volatility and tendency to jump often characterise the energy markets. Also, in spite of frequent jumps resulting from random shocks to supply and demand, prices will gravitate to the cost of production. Production costs may change over time depending on multiple factors such as available technology, inventory level, institutional framework, and competition from other markets. Other obvious features of energy prices are seasonality, derived mostly from the dependence of supply and demand on weather and climate  patterns. Many of the most interesting contributions in this area made over the last few years represent the attempts to handle these features of the energy markets and to adapt the original theoretical framework for option pricing to account for these features. We are unable to offer a full review of these contributions, but we shall signal some of them.</w:t>
      </w:r>
    </w:p>
    <w:p>
      <w:pPr>
        <w:pStyle w:val="Normal"/>
        <w:jc w:val="both"/>
        <w:rPr>
          <w:rFonts w:ascii="Times New Roman" w:hAnsi="Times New Roman" w:cs="Times New Roman"/>
          <w:sz w:val="24"/>
        </w:rPr>
      </w:pPr>
      <w:r>
        <w:rPr>
          <w:rFonts w:cs="Times New Roman"/>
          <w:sz w:val="24"/>
        </w:rPr>
      </w:r>
    </w:p>
    <w:p>
      <w:pPr>
        <w:pStyle w:val="Heading1"/>
        <w:ind w:hanging="0" w:start="0"/>
        <w:rPr>
          <w:rFonts w:ascii="Times New Roman" w:hAnsi="Times New Roman" w:cs="Times New Roman"/>
        </w:rPr>
      </w:pPr>
      <w:r>
        <w:rPr>
          <w:rFonts w:cs="Times New Roman" w:ascii="Times New Roman" w:hAnsi="Times New Roman"/>
        </w:rPr>
        <w:t>PANEL 2</w:t>
      </w:r>
    </w:p>
    <w:p>
      <w:pPr>
        <w:pStyle w:val="Normal"/>
        <w:jc w:val="both"/>
        <w:rPr>
          <w:rFonts w:ascii="Times New Roman" w:hAnsi="Times New Roman" w:cs="Times New Roman"/>
          <w:sz w:val="24"/>
        </w:rPr>
      </w:pPr>
      <w:r>
        <w:rPr>
          <w:rFonts w:cs="Times New Roman"/>
          <w:sz w:val="24"/>
        </w:rPr>
      </w:r>
    </w:p>
    <w:p>
      <w:pPr>
        <w:pStyle w:val="Heading1"/>
        <w:widowControl w:val="false"/>
        <w:ind w:hanging="0" w:start="0"/>
        <w:rPr>
          <w:rFonts w:ascii="Times New Roman" w:hAnsi="Times New Roman" w:cs="Times New Roman"/>
          <w:lang w:val="en-GB"/>
        </w:rPr>
      </w:pPr>
      <w:r>
        <w:rPr>
          <w:rFonts w:cs="Times New Roman" w:ascii="Times New Roman" w:hAnsi="Times New Roman"/>
          <w:lang w:val="en-GB"/>
        </w:rPr>
        <w:t>DEFINING EXOTIC OPTIONS: Modified Payoffs</w:t>
      </w:r>
    </w:p>
    <w:p>
      <w:pPr>
        <w:pStyle w:val="Normal"/>
        <w:jc w:val="both"/>
        <w:rPr>
          <w:rFonts w:ascii="Times New Roman" w:hAnsi="Times New Roman" w:cs="Times New Roman"/>
          <w:b/>
          <w:sz w:val="24"/>
          <w:lang w:val="en-GB"/>
        </w:rPr>
      </w:pPr>
      <w:r>
        <w:rPr>
          <w:rFonts w:cs="Times New Roman"/>
          <w:b/>
          <w:sz w:val="24"/>
          <w:lang w:val="en-GB"/>
        </w:rPr>
      </w:r>
    </w:p>
    <w:p>
      <w:pPr>
        <w:pStyle w:val="Normal"/>
        <w:jc w:val="both"/>
        <w:rPr>
          <w:sz w:val="24"/>
        </w:rPr>
      </w:pPr>
      <w:r>
        <w:rPr>
          <w:sz w:val="24"/>
        </w:rPr>
        <w:t>What are the modifications to the classical payoff definition that convert a standard option into an exotic option? We can identify a few major changes, which can be classified as follows:</w:t>
      </w:r>
    </w:p>
    <w:p>
      <w:pPr>
        <w:pStyle w:val="Normal"/>
        <w:jc w:val="both"/>
        <w:rPr>
          <w:sz w:val="24"/>
        </w:rPr>
      </w:pPr>
      <w:r>
        <w:rPr>
          <w:sz w:val="24"/>
        </w:rPr>
      </w:r>
    </w:p>
    <w:p>
      <w:pPr>
        <w:pStyle w:val="Normal"/>
        <w:numPr>
          <w:ilvl w:val="0"/>
          <w:numId w:val="3"/>
        </w:numPr>
        <w:jc w:val="both"/>
        <w:rPr>
          <w:sz w:val="24"/>
        </w:rPr>
      </w:pPr>
      <w:r>
        <w:rPr>
          <w:sz w:val="24"/>
        </w:rPr>
        <w:t>Path dependency. The option payoff depends not only on the price of the underlying at exercise (which is simultaneous with expiration for a European option), but also on the price trajectory during the entire life of the option (or some part of it). Examples of path-dependent options include:</w:t>
      </w:r>
    </w:p>
    <w:p>
      <w:pPr>
        <w:pStyle w:val="Normal"/>
        <w:jc w:val="both"/>
        <w:rPr>
          <w:sz w:val="24"/>
        </w:rPr>
      </w:pPr>
      <w:r>
        <w:rPr>
          <w:sz w:val="24"/>
        </w:rPr>
      </w:r>
    </w:p>
    <w:p>
      <w:pPr>
        <w:pStyle w:val="Normal"/>
        <w:ind w:firstLine="360" w:end="0"/>
        <w:jc w:val="both"/>
        <w:rPr/>
      </w:pPr>
      <w:r>
        <w:rPr>
          <w:rFonts w:eastAsia="Symbol" w:cs="Symbol" w:ascii="Symbol" w:hAnsi="Symbol"/>
          <w:sz w:val="24"/>
        </w:rPr>
        <w:sym w:font="Symbol" w:char="f0b7"/>
      </w:r>
      <w:r>
        <w:rPr>
          <w:sz w:val="24"/>
        </w:rPr>
        <w:t xml:space="preserve"> </w:t>
      </w:r>
      <w:r>
        <w:rPr>
          <w:sz w:val="24"/>
        </w:rPr>
        <w:t>Asian options, which have a payoff defined as max(avg(F)-K, 0) for a call and max(K-avg(F), 0) for a put. Thus the payoff is a function of the average price avg(F) of the underlying instrument, calculated over a specified time period.</w:t>
      </w:r>
    </w:p>
    <w:p>
      <w:pPr>
        <w:pStyle w:val="Normal"/>
        <w:ind w:firstLine="360" w:end="0"/>
        <w:jc w:val="both"/>
        <w:rPr/>
      </w:pPr>
      <w:r>
        <w:rPr>
          <w:rFonts w:eastAsia="Symbol" w:cs="Symbol" w:ascii="Symbol" w:hAnsi="Symbol"/>
          <w:sz w:val="24"/>
        </w:rPr>
        <w:sym w:font="Symbol" w:char="f0b7"/>
      </w:r>
      <w:r>
        <w:rPr>
          <w:sz w:val="24"/>
        </w:rPr>
        <w:t xml:space="preserve"> </w:t>
      </w:r>
      <w:r>
        <w:rPr>
          <w:sz w:val="24"/>
        </w:rPr>
        <w:t>Average strike options, which have a payoff defined as max(F(T)-avg(F),0) for a call and max(avg(F)-F(T),0) for a put. The call payoff is equal to the price at horizon, less the average price over a certain time period.</w:t>
      </w:r>
    </w:p>
    <w:p>
      <w:pPr>
        <w:pStyle w:val="Normal"/>
        <w:ind w:firstLine="360" w:end="0"/>
        <w:jc w:val="both"/>
        <w:rPr/>
      </w:pPr>
      <w:r>
        <w:rPr>
          <w:rFonts w:eastAsia="Symbol" w:cs="Symbol" w:ascii="Symbol" w:hAnsi="Symbol"/>
          <w:sz w:val="24"/>
        </w:rPr>
        <w:sym w:font="Symbol" w:char="f0b7"/>
      </w:r>
      <w:r>
        <w:rPr>
          <w:sz w:val="24"/>
        </w:rPr>
        <w:t xml:space="preserve"> </w:t>
      </w:r>
      <w:r>
        <w:rPr>
          <w:sz w:val="24"/>
        </w:rPr>
        <w:t>Lookback options, which offer the opportunity to obtain the best price that occurs during the life of the option. The payoff is defined as F(T)-min(F) for a call and max(F)-F(T) for a put, where max(F) and min(F) denote respectively the highest and the lowest price during the life of the option.</w:t>
      </w:r>
    </w:p>
    <w:p>
      <w:pPr>
        <w:pStyle w:val="Normal"/>
        <w:ind w:firstLine="360" w:end="0"/>
        <w:jc w:val="both"/>
        <w:rPr/>
      </w:pPr>
      <w:r>
        <w:rPr>
          <w:rFonts w:eastAsia="Symbol" w:cs="Symbol" w:ascii="Symbol" w:hAnsi="Symbol"/>
          <w:sz w:val="24"/>
        </w:rPr>
        <w:sym w:font="Symbol" w:char="f0b7"/>
      </w:r>
      <w:r>
        <w:rPr>
          <w:sz w:val="24"/>
        </w:rPr>
        <w:t xml:space="preserve"> </w:t>
      </w:r>
      <w:r>
        <w:rPr>
          <w:sz w:val="24"/>
        </w:rPr>
        <w:t>Barrier options, which are extinguished or activated contingent upon the occurrence of a certain event defined in terms of the price of the underlying or defined in terms of the price of an entirely different asset. For example, an option on natural gas may have a barrier defined in terms of the price of residual fuel oil.</w:t>
      </w:r>
    </w:p>
    <w:p>
      <w:pPr>
        <w:pStyle w:val="Normal"/>
        <w:ind w:firstLine="360" w:end="0"/>
        <w:jc w:val="both"/>
        <w:rPr>
          <w:sz w:val="24"/>
        </w:rPr>
      </w:pPr>
      <w:r>
        <w:rPr>
          <w:sz w:val="24"/>
        </w:rPr>
      </w:r>
    </w:p>
    <w:p>
      <w:pPr>
        <w:pStyle w:val="Normal"/>
        <w:ind w:firstLine="360" w:end="0"/>
        <w:jc w:val="both"/>
        <w:rPr>
          <w:sz w:val="24"/>
        </w:rPr>
      </w:pPr>
      <w:r>
        <w:rPr>
          <w:sz w:val="24"/>
        </w:rPr>
        <w:t>2. Multiple-commodity options with payoffs that depend on the prices of two or more commodities. Most common are the dual-commodity options. Examples include:</w:t>
      </w:r>
    </w:p>
    <w:p>
      <w:pPr>
        <w:pStyle w:val="Normal"/>
        <w:jc w:val="both"/>
        <w:rPr>
          <w:sz w:val="24"/>
        </w:rPr>
      </w:pPr>
      <w:r>
        <w:rPr>
          <w:sz w:val="24"/>
        </w:rPr>
      </w:r>
    </w:p>
    <w:p>
      <w:pPr>
        <w:pStyle w:val="Normal"/>
        <w:ind w:firstLine="360" w:end="0"/>
        <w:jc w:val="both"/>
        <w:rPr/>
      </w:pPr>
      <w:r>
        <w:rPr>
          <w:rFonts w:eastAsia="Symbol" w:cs="Symbol" w:ascii="Symbol" w:hAnsi="Symbol"/>
          <w:sz w:val="24"/>
        </w:rPr>
        <w:sym w:font="Symbol" w:char="f0b7"/>
      </w:r>
      <w:r>
        <w:rPr>
          <w:sz w:val="24"/>
        </w:rPr>
        <w:t xml:space="preserve"> </w:t>
      </w:r>
      <w:r>
        <w:rPr>
          <w:sz w:val="24"/>
        </w:rPr>
        <w:t>Spread options, which have a payoff defined as max(F1-F2-K,0) for a call and max(K-(F1-F2),0) for a put, where F1 and F2 denote prices of commodities 1 and 2 at option expiration. The payoff of the option depends on the difference (spread) between the two prices.</w:t>
      </w:r>
    </w:p>
    <w:p>
      <w:pPr>
        <w:pStyle w:val="Normal"/>
        <w:ind w:firstLine="360" w:end="0"/>
        <w:jc w:val="both"/>
        <w:rPr/>
      </w:pPr>
      <w:r>
        <w:rPr>
          <w:rFonts w:eastAsia="Symbol" w:cs="Symbol" w:ascii="Symbol" w:hAnsi="Symbol"/>
          <w:sz w:val="24"/>
        </w:rPr>
        <w:sym w:font="Symbol" w:char="f0b7"/>
      </w:r>
      <w:r>
        <w:rPr>
          <w:sz w:val="24"/>
        </w:rPr>
        <w:t xml:space="preserve"> </w:t>
      </w:r>
      <w:r>
        <w:rPr>
          <w:sz w:val="24"/>
        </w:rPr>
        <w:t>Options on the maximum and the minimum of two commodities with payoffs given, respectively, by max(max(F1,F2)-K,0) and max(min(F1,F2)-K,0) for a call, and max(K-max(F1,F2),0) and max(K-min(F1,F2),0) for the put.</w:t>
      </w:r>
    </w:p>
    <w:p>
      <w:pPr>
        <w:pStyle w:val="Normal"/>
        <w:ind w:firstLine="360" w:end="0"/>
        <w:jc w:val="both"/>
        <w:rPr/>
      </w:pPr>
      <w:r>
        <w:rPr>
          <w:rFonts w:eastAsia="Symbol" w:cs="Symbol" w:ascii="Symbol" w:hAnsi="Symbol"/>
          <w:sz w:val="24"/>
        </w:rPr>
        <w:sym w:font="Symbol" w:char="f0b7"/>
      </w:r>
      <w:r>
        <w:rPr>
          <w:sz w:val="24"/>
        </w:rPr>
        <w:t xml:space="preserve"> </w:t>
      </w:r>
      <w:r>
        <w:rPr>
          <w:sz w:val="24"/>
        </w:rPr>
        <w:t>Options to exchange one asset for another or, in other words, to get the better of two assets.</w:t>
      </w:r>
    </w:p>
    <w:p>
      <w:pPr>
        <w:pStyle w:val="Normal"/>
        <w:jc w:val="both"/>
        <w:rPr>
          <w:sz w:val="24"/>
        </w:rPr>
      </w:pPr>
      <w:r>
        <w:rPr>
          <w:sz w:val="24"/>
        </w:rPr>
      </w:r>
    </w:p>
    <w:p>
      <w:pPr>
        <w:pStyle w:val="Normal"/>
        <w:jc w:val="both"/>
        <w:rPr>
          <w:sz w:val="24"/>
        </w:rPr>
      </w:pPr>
      <w:r>
        <w:rPr>
          <w:sz w:val="24"/>
        </w:rPr>
        <w:t>3. Compound options in which the underlying instrument is itself an option.</w:t>
      </w:r>
    </w:p>
    <w:p>
      <w:pPr>
        <w:pStyle w:val="Normal"/>
        <w:jc w:val="both"/>
        <w:rPr>
          <w:sz w:val="24"/>
        </w:rPr>
      </w:pPr>
      <w:r>
        <w:rPr>
          <w:sz w:val="24"/>
        </w:rPr>
      </w:r>
    </w:p>
    <w:p>
      <w:pPr>
        <w:pStyle w:val="Normal"/>
        <w:jc w:val="both"/>
        <w:rPr>
          <w:sz w:val="24"/>
        </w:rPr>
      </w:pPr>
      <w:r>
        <w:rPr>
          <w:sz w:val="24"/>
        </w:rPr>
        <w:t>4. Digital or binary options with pre-determined payoffs that depend on the occurrence of events usually defined in terms of one or more prices.</w:t>
      </w:r>
    </w:p>
    <w:p>
      <w:pPr>
        <w:pStyle w:val="Normal"/>
        <w:jc w:val="both"/>
        <w:rPr>
          <w:sz w:val="24"/>
        </w:rPr>
      </w:pPr>
      <w:r>
        <w:rPr>
          <w:sz w:val="24"/>
        </w:rPr>
      </w:r>
    </w:p>
    <w:p>
      <w:pPr>
        <w:pStyle w:val="Normal"/>
        <w:jc w:val="both"/>
        <w:rPr>
          <w:sz w:val="24"/>
        </w:rPr>
      </w:pPr>
      <w:r>
        <w:rPr>
          <w:sz w:val="24"/>
        </w:rPr>
        <w:t xml:space="preserve">Note: This list of exotic options is by no means complete, but most of the options offered over-the-counter represent hybrids of the options enumerated here. </w:t>
      </w:r>
    </w:p>
    <w:p>
      <w:pPr>
        <w:pStyle w:val="Normal"/>
        <w:rPr>
          <w:sz w:val="24"/>
        </w:rPr>
      </w:pPr>
      <w:r>
        <w:rPr>
          <w:sz w:val="24"/>
        </w:rPr>
      </w:r>
    </w:p>
    <w:p>
      <w:pPr>
        <w:pStyle w:val="Heading1"/>
        <w:ind w:hanging="0" w:start="0"/>
        <w:rPr>
          <w:rFonts w:ascii="Times New Roman" w:hAnsi="Times New Roman" w:cs="Times New Roman"/>
        </w:rPr>
      </w:pPr>
      <w:r>
        <w:rPr>
          <w:rFonts w:cs="Times New Roman" w:ascii="Times New Roman" w:hAnsi="Times New Roman"/>
        </w:rPr>
        <w:t>PANEL 3</w:t>
      </w:r>
    </w:p>
    <w:p>
      <w:pPr>
        <w:pStyle w:val="Normal"/>
        <w:jc w:val="both"/>
        <w:rPr>
          <w:rFonts w:ascii="Times New Roman" w:hAnsi="Times New Roman" w:cs="Times New Roman"/>
          <w:b/>
          <w:sz w:val="24"/>
        </w:rPr>
      </w:pPr>
      <w:r>
        <w:rPr>
          <w:rFonts w:cs="Times New Roman"/>
          <w:b/>
          <w:sz w:val="24"/>
        </w:rPr>
      </w:r>
    </w:p>
    <w:p>
      <w:pPr>
        <w:pStyle w:val="Heading1"/>
        <w:widowControl w:val="false"/>
        <w:ind w:hanging="0" w:start="0"/>
        <w:rPr>
          <w:rFonts w:ascii="Times New Roman" w:hAnsi="Times New Roman" w:cs="Times New Roman"/>
          <w:lang w:val="en-GB"/>
        </w:rPr>
      </w:pPr>
      <w:r>
        <w:rPr>
          <w:rFonts w:cs="Times New Roman" w:ascii="Times New Roman" w:hAnsi="Times New Roman"/>
          <w:lang w:val="en-GB"/>
        </w:rPr>
        <w:t xml:space="preserve">SPREADING THE CRACKS  </w:t>
      </w:r>
    </w:p>
    <w:p>
      <w:pPr>
        <w:pStyle w:val="Normal"/>
        <w:jc w:val="both"/>
        <w:rPr>
          <w:sz w:val="24"/>
        </w:rPr>
      </w:pPr>
      <w:r>
        <w:rPr>
          <w:sz w:val="24"/>
        </w:rPr>
        <w:t xml:space="preserve">Many companies in the energy industry are exposed to the difference in the prices of two related commodities, rather than to the price of an individual commodity. This type of exposure is generated when a company uses one commodity as an input to a process, which in turn produces another commodity. The difference between the input/output prices in such a case is known as a “crack spread”. </w:t>
        <w:tab/>
        <w:t>The term “crack” refers to the technological process used in petroleum refineries; that is, the application of vacuum, heat and catalysts to break down larger, heavier molecules of hydrocarbons into lighter ones, with higher economic value. In the natural gas industry, a corresponding process consists of the removal of liquids from the gas stream through fractionation. The crack spreads are often classified as:</w:t>
      </w:r>
    </w:p>
    <w:p>
      <w:pPr>
        <w:pStyle w:val="Normal"/>
        <w:jc w:val="both"/>
        <w:rPr>
          <w:sz w:val="24"/>
        </w:rPr>
      </w:pPr>
      <w:r>
        <w:rPr>
          <w:sz w:val="24"/>
        </w:rPr>
        <w:t>[BULLET POINTS FOLLOW]heat spreads: the difference between the prices of No. 2 heating oil and crude;gasoline spreads: the difference between the prices of unleaded gasoline and crude;“resid” spreads: the difference between the prices of No. 6 fuel oil and crude;“frac” spreads: the difference between the prices of gas liquids (propane, ethane, butane, iso-butane, natural gasoline) and natural gas.</w:t>
      </w:r>
    </w:p>
    <w:p>
      <w:pPr>
        <w:pStyle w:val="Normal"/>
        <w:jc w:val="both"/>
        <w:rPr>
          <w:sz w:val="24"/>
        </w:rPr>
      </w:pPr>
      <w:r>
        <w:rPr>
          <w:sz w:val="24"/>
        </w:rPr>
        <w:t>[BULLET POINTS END]</w:t>
      </w:r>
    </w:p>
    <w:p>
      <w:pPr>
        <w:pStyle w:val="Normal"/>
        <w:jc w:val="both"/>
        <w:rPr>
          <w:sz w:val="24"/>
        </w:rPr>
      </w:pPr>
      <w:r>
        <w:rPr>
          <w:sz w:val="24"/>
        </w:rPr>
        <w:tab/>
        <w:t>Market risks result from the volatile nature of both inputs and outputs, and from the imperfect correlation between the input and output commodity prices (due to the various independent factors affecting the feedstocks and products).</w:t>
        <w:tab/>
        <w:t xml:space="preserve">In addition to crack spreads, refiners are sensitive to the interplay of the spreads between various grades of crude, each of which may result in a slightly different mix of refined products, and the spreads between the market prices of the products themselves. The high volatility of some of these spreads can be explained if we consider that it is influenced by the volatilities of both underlying prices, moderated by their correlation (see equation 19 in the main text). </w:t>
        <w:tab/>
        <w:t xml:space="preserve">Refiners can hedge their exposure using a number of different approaches. One possibility is to use forward transactions to lock in prices of inputs and outputs. A second commonly used method is to purchase the input commodity under a netback agreement so that the price paid for the input is tied to the current level of prices commanded by the refined products. Another possibility is to enter into a basis swap under which a refiner pays a floating product price to a financial institution (a bank or a broker) and receives floating input price plus crack spread. </w:t>
        <w:tab/>
        <w:t>In the normal course of business, the refiner pays a floating price for the input and receives a floating price for the processed product. When these flows are combined with a basis swap, the floating price flows cancel out and a producer is left with a fixed crack spread. The figure opposite provides a detailed example of this type of transaction, as applied to a gasoline spread. This arrangement can be applied to a basket of outputs designed to match the mix of products marketed by the refiner.</w:t>
        <w:tab/>
        <w:t xml:space="preserve">Although the approaches described above eliminate price uncertainty, they also eliminate any opportunity for additional gain should the crack spread widen. An alternative solution is to use a spread option. As the (unhedged) producers lose if the crack spread decreases - that is, if the price of crude (input) increases relative to the price of unleaded (finished product) - they can hedge by buying a put on the spread. The payoff of the spread put option is defined as max(K-(Price unleaded - Price of crude), 0), where K denotes the strike price. The table below provides some possible parameters for an option of this kind: </w:t>
      </w:r>
    </w:p>
    <w:p>
      <w:pPr>
        <w:pStyle w:val="Normal"/>
        <w:jc w:val="both"/>
        <w:rPr>
          <w:sz w:val="24"/>
        </w:rPr>
      </w:pPr>
      <w:r>
        <w:rPr>
          <w:sz w:val="24"/>
        </w:rPr>
        <w:t>Tenor:_90 days__Forward price of unleaded:_$21.08/bbl__Forward price of crude:_$17.42/bbl__Strike (at-the-money):_$3.66__Volatility (unleaded):_25%__Volatility (crude):_24%__Correlation:_0.92__Interest rate:_5%__Put option premium:_$0.42__</w:t>
      </w:r>
    </w:p>
    <w:p>
      <w:pPr>
        <w:pStyle w:val="Normal"/>
        <w:jc w:val="both"/>
        <w:rPr>
          <w:sz w:val="24"/>
        </w:rPr>
      </w:pPr>
      <w:r>
        <w:rPr>
          <w:sz w:val="24"/>
        </w:rPr>
        <w:tab/>
        <w:t xml:space="preserve">If the prices at expiration maintain their absolute spread, or if the spread widens, the producer lets the option expire worthless. For example, if the price of unleaded at expiration is $20.66 and crude falls to $14, then the option payoff is equal to max(3.66 - (20.66 - 14),0) = max(-3,0) = 0. The refiner allows the option to expire worthless, but benefits from the firmness of unleaded relative to crude. If the December spread narrows, let us say to $2.66, the producer can recover one dollar (less the option premium). </w:t>
      </w:r>
    </w:p>
    <w:p>
      <w:pPr>
        <w:pStyle w:val="Normal"/>
        <w:jc w:val="both"/>
        <w:rPr>
          <w:sz w:val="24"/>
        </w:rPr>
      </w:pPr>
      <w:r>
        <w:rPr>
          <w:sz w:val="24"/>
        </w:rPr>
        <w:t>[INSERT FIGURE CRACK SPREAD SWAP HERE]</w:t>
      </w:r>
    </w:p>
    <w:p>
      <w:pPr>
        <w:pStyle w:val="Normal"/>
        <w:jc w:val="both"/>
        <w:rPr>
          <w:sz w:val="24"/>
        </w:rPr>
      </w:pPr>
      <w:r>
        <w:rPr>
          <w:sz w:val="24"/>
        </w:rPr>
      </w:r>
    </w:p>
    <w:p>
      <w:pPr>
        <w:pStyle w:val="Normal"/>
        <w:jc w:val="both"/>
        <w:rPr>
          <w:sz w:val="24"/>
        </w:rPr>
      </w:pPr>
      <w:r>
        <w:rPr>
          <w:sz w:val="24"/>
        </w:rPr>
        <w:tab/>
        <w:t>Refiners often use an alternative option strategy. They sell long-dated crack spread straddles to financial dealers. A straddle is a combination of a put and a call with the same expiration dates and strikes. A buyer of a straddle hopes that the volatility of the underlying prices will increase, creating profit opportunities, or that the two prices will decouple. In other words, the buyer makes a bet on decreasing correlation or increasing volatility. However, the buyers of these options may have difficulty in re-trading the options to lock in a profit should the spread move their way. In fact the very poor liquidity in trading these options may oblige the purchaser to hold the options until expiration. In selling these straddles, a refiner can use the proceeds from the two options to offset changes in the crack spreads, as long as these changes are limited in size. The growing importance of spread options to the energy industry prompted Nymex  to introduce heat and gasoline spread options to the exchange in late 1994.</w:t>
      </w:r>
    </w:p>
    <w:p>
      <w:pPr>
        <w:pStyle w:val="Normal"/>
        <w:jc w:val="both"/>
        <w:rPr>
          <w:sz w:val="24"/>
        </w:rPr>
      </w:pPr>
      <w:r>
        <w:rPr>
          <w:sz w:val="24"/>
        </w:rPr>
        <w:t>[END OF PANEL 2]</w:t>
      </w:r>
    </w:p>
    <w:p>
      <w:pPr>
        <w:pStyle w:val="Normal"/>
        <w:jc w:val="both"/>
        <w:rPr>
          <w:sz w:val="24"/>
        </w:rPr>
      </w:pPr>
      <w:r>
        <w:rPr>
          <w:sz w:val="24"/>
        </w:rPr>
      </w:r>
    </w:p>
    <w:p>
      <w:pPr>
        <w:pStyle w:val="Heading1"/>
        <w:ind w:hanging="0" w:start="0"/>
        <w:rPr>
          <w:rFonts w:ascii="Times New Roman" w:hAnsi="Times New Roman" w:cs="Times New Roman"/>
        </w:rPr>
      </w:pPr>
      <w:r>
        <w:rPr>
          <w:rFonts w:cs="Times New Roman" w:ascii="Times New Roman" w:hAnsi="Times New Roman"/>
        </w:rPr>
        <w:t>PANEL 4</w:t>
      </w:r>
    </w:p>
    <w:p>
      <w:pPr>
        <w:pStyle w:val="Normal"/>
        <w:jc w:val="both"/>
        <w:rPr>
          <w:sz w:val="24"/>
        </w:rPr>
      </w:pPr>
      <w:r>
        <w:rPr>
          <w:sz w:val="24"/>
        </w:rPr>
        <w:t>BTU SWAPS [CENTRE, UPPERCASE, BOLD]</w:t>
      </w:r>
    </w:p>
    <w:p>
      <w:pPr>
        <w:pStyle w:val="Normal"/>
        <w:jc w:val="both"/>
        <w:rPr>
          <w:sz w:val="24"/>
        </w:rPr>
      </w:pPr>
      <w:r>
        <w:rPr>
          <w:sz w:val="24"/>
        </w:rPr>
      </w:r>
    </w:p>
    <w:p>
      <w:pPr>
        <w:pStyle w:val="Normal"/>
        <w:jc w:val="both"/>
        <w:rPr>
          <w:sz w:val="24"/>
        </w:rPr>
      </w:pPr>
      <w:r>
        <w:rPr>
          <w:sz w:val="24"/>
        </w:rPr>
        <w:t xml:space="preserve">Many natural gas producers have shown interest in Btu swap contracts, under which the payments they receive for their gas are tied to the price of crude oil.1 One reason for the popularity of these contracts is that they allow consumers to diversify across the energy markets without having to handle different physical commodities. </w:t>
        <w:tab/>
        <w:t xml:space="preserve">Another reason for entering into these contracts is the belief that the prices of energy commodities will tend to revert to certain historical relationships. When the long-term prices of crude and natural gas diverge significantly from their historical norms, Btu swaps can provide a way to profit from the expected reversion of the price ratios. </w:t>
        <w:tab/>
        <w:t xml:space="preserve">The figure shows historical natural gas prices expressed as a fraction of the cost of an MMBtu equivalent amount of WTI. The standard conversion factor for WTI of 5.826 MMBtu/bbl was used. The thin blue line in the figure illustrates closing prices for the prompt natural gas and WTI Nymex contracts, and the heavy black line shows the ratios of five-year swap prices between natural gas and WTI. </w:t>
        <w:tab/>
        <w:t>Near the beginning of 1994, spot gas prices were at historical highs relative to WTI, largely due to a weakness in the crude markets. The relative prices for five-year gas and crude swaps were less extreme, but still high relative to the average price ratio over past years. These high gas/crude ratios represented an opportunity for gas producers who believed that gas/crude prices would eventually move back closer to their historical norm. If crude prices recovered relative to gas, then producers holding Btu swaps were liable to realise above market prices for their gas.</w:t>
      </w:r>
    </w:p>
    <w:p>
      <w:pPr>
        <w:pStyle w:val="Normal"/>
        <w:jc w:val="both"/>
        <w:rPr>
          <w:sz w:val="24"/>
        </w:rPr>
      </w:pPr>
      <w:r>
        <w:rPr>
          <w:sz w:val="24"/>
        </w:rPr>
        <w:t>[INSERT FIGURE “PRICE OF NATURAL GAS/PRICE OF WTI”]</w:t>
        <w:tab/>
        <w:t>Under a variation of the traditional Btu swap, a producer receives an initial cash flow that is equivalent to a loan. For example, for a time period prior to the beginning of the Btu swap, the producer receives payments that are based on a quoted index price plus an additional margin. Payment of the additional margin can be thought of as a series of loans made to the producer. During the Btu swap portion of the deal, the payments are set at a lower percentage of the crude price than for a stand-alone swap, so that the cash flows under this part of the contract repay the earlier loan amount.</w:t>
        <w:tab/>
        <w:t>Options can also be combined with Btu swaps to make them more attractive. As an example, consider a producer who wants to sell natural gas at prices that are tied to the price of crude oil. A market maker offers to purchase the natural gas at 65% of the price of crude on an MMBtu equivalent basis. The producer requires that the gas be sold at 70% of crude or better, so a new structure is proposed whereby options are granted to the market maker in exchange for a more favourable swap price. The options grant the buyer the right to buy an additional quantity of gas at the better of either 70% of crude price or a standard gas index price. This structure, a twist on the common “double-up” deal, can be implemented using options to exchange one asset for another. This method of adding value to the deal may help to satisfy the needs of the producer, and allow the transaction to be consummated.1 Further disucssion of Btu swaps may be found in Chapter 10</w:t>
      </w:r>
    </w:p>
    <w:p>
      <w:pPr>
        <w:pStyle w:val="Normal"/>
        <w:jc w:val="both"/>
        <w:rPr>
          <w:sz w:val="24"/>
        </w:rPr>
      </w:pPr>
      <w:r>
        <w:rPr>
          <w:sz w:val="24"/>
        </w:rPr>
      </w:r>
    </w:p>
    <w:p>
      <w:pPr>
        <w:pStyle w:val="Normal"/>
        <w:jc w:val="both"/>
        <w:rPr>
          <w:sz w:val="24"/>
        </w:rPr>
      </w:pPr>
      <w:r>
        <w:rPr>
          <w:sz w:val="24"/>
        </w:rPr>
        <w:t>[END OF TEXT FOR PANEL 4]</w:t>
      </w:r>
    </w:p>
    <w:p>
      <w:pPr>
        <w:pStyle w:val="Normal"/>
        <w:jc w:val="both"/>
        <w:rPr>
          <w:sz w:val="24"/>
        </w:rPr>
      </w:pPr>
      <w:r>
        <w:rPr>
          <w:sz w:val="24"/>
        </w:rPr>
      </w:r>
    </w:p>
    <w:p>
      <w:pPr>
        <w:pStyle w:val="Normal"/>
        <w:jc w:val="both"/>
        <w:rPr>
          <w:sz w:val="24"/>
        </w:rPr>
      </w:pPr>
      <w:r>
        <w:rPr>
          <w:sz w:val="24"/>
        </w:rPr>
        <w:t>[PANEL 5 FOLLOWS]</w:t>
      </w:r>
    </w:p>
    <w:p>
      <w:pPr>
        <w:pStyle w:val="Normal"/>
        <w:jc w:val="both"/>
        <w:rPr>
          <w:sz w:val="24"/>
        </w:rPr>
      </w:pPr>
      <w:r>
        <w:rPr>
          <w:sz w:val="24"/>
        </w:rPr>
        <w:t>PANEL 5</w:t>
      </w:r>
    </w:p>
    <w:p>
      <w:pPr>
        <w:pStyle w:val="Normal"/>
        <w:jc w:val="both"/>
        <w:rPr>
          <w:sz w:val="24"/>
        </w:rPr>
      </w:pPr>
      <w:r>
        <w:rPr>
          <w:sz w:val="24"/>
        </w:rPr>
        <w:t>USING HYBRID OPTIONS</w:t>
      </w:r>
    </w:p>
    <w:p>
      <w:pPr>
        <w:pStyle w:val="Normal"/>
        <w:jc w:val="both"/>
        <w:rPr>
          <w:sz w:val="24"/>
        </w:rPr>
      </w:pPr>
      <w:r>
        <w:rPr>
          <w:sz w:val="24"/>
        </w:rPr>
      </w:r>
    </w:p>
    <w:p>
      <w:pPr>
        <w:pStyle w:val="Normal"/>
        <w:jc w:val="both"/>
        <w:rPr>
          <w:sz w:val="24"/>
        </w:rPr>
      </w:pPr>
      <w:r>
        <w:rPr>
          <w:sz w:val="24"/>
        </w:rPr>
        <w:t xml:space="preserve">The price of natural gas at the Permian Basin is one of the most volatile of the 60-plus locations where Enron Capital &amp; Trade Resources (ECT) makes a market. The gas from this location traditionally flowed to California, where fluctuations in demand caused huge swings in the Permian index price. This instability resulted in a huge basis risk, basis being traditionally defined as the difference between an index and the average of the last three closing prices for the expiring Nymex contract.1 </w:t>
        <w:tab/>
        <w:t xml:space="preserve">Recently, pricing of the Permian gas has been further complicated by changes in the pipeline system: a new interconnect has opened the northeastern and mid-continent markets to the production flow from this basin. In addition, the competitive situation in California was altered by the completion of the PGT (Pacific Gas Transmission) expansion, which opened this market to more Canadian gas from the Alberta region. These developments have created a new range of choices for the end-users operating in the Californian markets. (They also mean that historical volatilities and price correlations are now of limited use.) </w:t>
        <w:tab/>
        <w:t xml:space="preserve">Imagine the situation of a hypothetical California utility, GenCo, which is a large consumer of gas. GenCo is interested in a contract which would allow it to financially lock in the price of the cheaper of the two gas supplies on a monthly basis. This type of option would allow the company to contract for long-term transportation to California in order to eliminate its exposure to fluctuations in transportation rates, and would also allow it to negotiate for preferred rates under the long-term deal. However, under a long-term transportation contract the company would have to commit to buying gas from one source, and would thus incur “opportunity loss” if the gas from the other source proved to be cheaper. </w:t>
        <w:tab/>
        <w:t>GenCo therefore approaches ECT, which evaluates the factors affecting the prices of gas from both competing sources. The utility would like to maximise the benefit of having exposure to the relationship between the Permian and Alberta indices, which historically has been characterised by highly seasonal volatility and correlation as shown in the figure opposite. The two indices began to track each other much more closely in the autumn of 1993, when the PGT expansion became operational. Since the utility is a US company and its exposure is to the prices of Canadian gas translated into US dollars, correlation of the US dollar/Canadian dollar exchange rate with both prices is an additional factor which must be considered in the designing of the hedge strategy.</w:t>
        <w:tab/>
        <w:t xml:space="preserve">One solution is for the company to purchase index gas at Permian, where gas production is somewhat more reliable than the Alberta supply pool, and enter into the corresponding firm transport agreement. Then the company could purchase an option from Enron which would pay the difference between the effective US$ price of Alberta gas and the Permian price: max(0, Permian (US$) - Canadian (C$) * FX (US$/C$))where FX stands for the currency exchange rate. This option, a hybrid equivalent of an option to exchange one asset for another, allows GenCo to benefit should Alberta prices decrease significantly below the Permian index. </w:t>
        <w:tab/>
        <w:t>Pricing of this option is complicated by the fact that the price of one asset is a product of two related random variables. The following complicating factors must also be accounted for:</w:t>
      </w:r>
    </w:p>
    <w:p>
      <w:pPr>
        <w:pStyle w:val="Normal"/>
        <w:jc w:val="both"/>
        <w:rPr>
          <w:sz w:val="24"/>
        </w:rPr>
      </w:pPr>
      <w:r>
        <w:rPr>
          <w:sz w:val="24"/>
        </w:rPr>
        <w:t>[BULLET POINTS FOLLOWthe volatilities and correlations are likely to change in the future and will display a seasonal pattern which may be different from that observed in the past;all the relevant prices (the two natural gas indices and the exchange rate) are likely to undergo discontinuous jumps, the phenomenon known as “gapping” in derivatives industry jargon;hedging the option requires taking positions in three markets, two of which (the Permian and Alberta indices) have historically had very high volatilities and an unstable correlation.[BULLET POINTS END]</w:t>
      </w:r>
    </w:p>
    <w:p>
      <w:pPr>
        <w:pStyle w:val="Normal"/>
        <w:jc w:val="both"/>
        <w:rPr>
          <w:sz w:val="24"/>
        </w:rPr>
      </w:pPr>
      <w:r>
        <w:rPr>
          <w:sz w:val="24"/>
        </w:rPr>
        <w:tab/>
        <w:t>The provider has to be compensated for these risks, and this adds to the expense of this option. However, the attractiveness of purchasing this option ultimately depends upon the expectations of the buyer. If one expects that the prices of these two indices will continue to closely track one another, then the payoff from an option to financially exchange one index for the other will be negligible. If GenCo believed in this scenario, the company could go ahead with the simple purchase of index gas and live with the risk (perceived as small) of opportunity loss. On the other hand, if GenCo came to the decision that these two indices may again decouple in the future, then the option is very attractice.</w:t>
      </w:r>
    </w:p>
    <w:p>
      <w:pPr>
        <w:pStyle w:val="Normal"/>
        <w:jc w:val="both"/>
        <w:rPr>
          <w:sz w:val="24"/>
        </w:rPr>
      </w:pPr>
      <w:r>
        <w:rPr>
          <w:sz w:val="24"/>
        </w:rPr>
      </w:r>
    </w:p>
    <w:p>
      <w:pPr>
        <w:pStyle w:val="Normal"/>
        <w:jc w:val="both"/>
        <w:rPr>
          <w:sz w:val="24"/>
        </w:rPr>
      </w:pPr>
      <w:r>
        <w:rPr>
          <w:sz w:val="24"/>
        </w:rPr>
        <w:t>1. For a case study of basis risk at the Permian index, see pp. 202–203 of Chapter 10.</w:t>
      </w:r>
    </w:p>
    <w:p>
      <w:pPr>
        <w:pStyle w:val="Normal"/>
        <w:jc w:val="both"/>
        <w:rPr>
          <w:sz w:val="24"/>
        </w:rPr>
      </w:pPr>
      <w:r>
        <w:rPr>
          <w:sz w:val="24"/>
        </w:rPr>
      </w:r>
    </w:p>
    <w:p>
      <w:pPr>
        <w:pStyle w:val="Normal"/>
        <w:jc w:val="both"/>
        <w:rPr>
          <w:sz w:val="24"/>
        </w:rPr>
      </w:pPr>
      <w:r>
        <w:rPr>
          <w:sz w:val="24"/>
        </w:rPr>
        <w:t>[PANEL 6 FOLLOWS]</w:t>
      </w:r>
    </w:p>
    <w:p>
      <w:pPr>
        <w:pStyle w:val="Normal"/>
        <w:jc w:val="both"/>
        <w:rPr>
          <w:sz w:val="24"/>
        </w:rPr>
      </w:pPr>
      <w:r>
        <w:rPr>
          <w:sz w:val="24"/>
        </w:rPr>
        <w:t>PANEL 6</w:t>
      </w:r>
    </w:p>
    <w:p>
      <w:pPr>
        <w:pStyle w:val="Normal"/>
        <w:jc w:val="both"/>
        <w:rPr>
          <w:sz w:val="24"/>
        </w:rPr>
      </w:pPr>
      <w:r>
        <w:rPr>
          <w:sz w:val="24"/>
        </w:rPr>
        <w:t>COMPOUNDING THE OPTIONS [CENTRE, BOLD, UPPERCASE]</w:t>
      </w:r>
    </w:p>
    <w:p>
      <w:pPr>
        <w:pStyle w:val="Normal"/>
        <w:jc w:val="both"/>
        <w:rPr>
          <w:sz w:val="24"/>
        </w:rPr>
      </w:pPr>
      <w:r>
        <w:rPr>
          <w:sz w:val="24"/>
        </w:rPr>
        <w:t xml:space="preserve">Recently, an independent exploration and production company, which we shall call Aggressive E&amp;P, sought to purchase additional gas-producing properties. The banks providing credit for the purchase were convinced by the geological estimates of the available gas reserves used to back the loan, and were comfortable with the long-term cash-flow projections. But they became concerned that loan repayment could be jeopardised if gas prices fell, and they therefore stipulated that “downside” price protection be arranged. </w:t>
        <w:tab/>
        <w:t xml:space="preserve">Aggressive ruled out a fixed-for-floating swap, as they have a bullish view of the future and want to profit from any rise in gas prices. They then considered a zero-cost collar, constructed by trading a floor (a strip of put options) to Aggressive in exchange for the receipt of a cap (a strip of call options) of equal value. By using this “collar”, Aggressive would preserve their exposure to price changes within the collar range (the range between the floor and cap levels), and thus preserve some of the “upside potential” - but the company eventually decided that the collar was too restrictive. </w:t>
        <w:tab/>
        <w:t xml:space="preserve">The company then considered the purchase of either vanilla European puts or Asian puts, but Aggressive faced a short-term cash constraint and decided that they really needed a structure with a smaller initial cash outlay. The purchase of a long strip of puts was unattractive for an additional reason. Aggressive expected its financial position to improve considerably over the next year, and it hoped that the banks would eventually relax the requirements for downside price insurance. In this case, the puts would not be required - but selling the puts after holding them for some time would mean the loss of the time value component of the option price and of the bid-offer spread. </w:t>
        <w:tab/>
        <w:t>Marketers at Enron Capital &amp; Trade Resources looked for additional ways in which the bank’s need for price insurance and the producer’s desire for participation in a rising market could be satisfied. They found that a compound option structure of calls on puts could provide downside protection at a low initial cost.</w:t>
        <w:tab/>
        <w:t>Price protection was required over several years, so each compound option was structured as a call on a strip of 12 monthly puts. The series of 12 monthly puts provides price protection for one calendar year. Each call purchased by the producer expires in December of the year preceding the series of puts on which it is written. This structure allows the producer and its creditors to re-evaluate its financial position at each of these expirations, and to decide at that point whether or not to purchase the puts. To minimise the premium, the strike prices of the underlying puts were set at the lowest levels satisfactory to the bank creditors. In addition to setting the underlying puts substantially out-of-the-money, the strikes of the overlying call options were set out-of-the-money as well. The resulting structure allowed Aggressive to acquire the necessary price insurance for one-third of the cost of the outright purchase of a floor (floor level equal to the strike prices of the underlying put options).</w:t>
        <w:tab/>
        <w:t>The bank was satisfied that these options would provide a sufficient payoff to ensure the repayment of the loan, and the producer was comfortable with the level of the up-front premiums. Aggressive purchased the compound options, received funding from the bank, and completed their acquisition of the gas properties.</w:t>
      </w:r>
    </w:p>
    <w:p>
      <w:pPr>
        <w:pStyle w:val="Normal"/>
        <w:jc w:val="both"/>
        <w:rPr>
          <w:sz w:val="24"/>
        </w:rPr>
      </w:pPr>
      <w:r>
        <w:rPr>
          <w:sz w:val="24"/>
        </w:rPr>
        <w:t xml:space="preserve"> </w:t>
      </w:r>
    </w:p>
    <w:p>
      <w:pPr>
        <w:pStyle w:val="Normal"/>
        <w:jc w:val="both"/>
        <w:rPr>
          <w:sz w:val="24"/>
        </w:rPr>
      </w:pPr>
      <w:r>
        <w:rPr>
          <w:sz w:val="24"/>
        </w:rPr>
        <w:t>PANEL 7</w:t>
      </w:r>
    </w:p>
    <w:p>
      <w:pPr>
        <w:pStyle w:val="Normal"/>
        <w:jc w:val="both"/>
        <w:rPr>
          <w:sz w:val="24"/>
        </w:rPr>
      </w:pPr>
      <w:r>
        <w:rPr>
          <w:sz w:val="24"/>
        </w:rPr>
        <w:t xml:space="preserve">ASIAN MEETS AMERICAN </w:t>
      </w:r>
    </w:p>
    <w:p>
      <w:pPr>
        <w:pStyle w:val="Normal"/>
        <w:jc w:val="both"/>
        <w:rPr>
          <w:sz w:val="24"/>
        </w:rPr>
      </w:pPr>
      <w:r>
        <w:rPr>
          <w:sz w:val="24"/>
        </w:rPr>
      </w:r>
    </w:p>
    <w:p>
      <w:pPr>
        <w:pStyle w:val="Normal"/>
        <w:jc w:val="both"/>
        <w:rPr>
          <w:sz w:val="24"/>
        </w:rPr>
      </w:pPr>
      <w:r>
        <w:rPr>
          <w:sz w:val="24"/>
        </w:rPr>
        <w:t xml:space="preserve">In March 1991, Paribas Capital Markets Ltd issued compound options on crude oil (January 1992 contract), with the unit size of the underlying commodity being equal to 50 barrels. The offering consisted of three separate parts with the following specifications:1. Call on call. The overlying option was an American call with a strike of $2.00/bbl, expiring on September 27, 1991. The underlying call was Asian, with a price defined as an average of the 20 closing Nymex prices prior to December 10, 1991. The strike price of the option was equal to $21.00/bbl. 2. Call on put. The overlying option was American with a strike of $1.50/bbl and an expiry date of September 27, 1991. The underlying Asian put was based on the average price defined as in point (1), with a strike of $17.00/bbl. </w:t>
        <w:tab/>
        <w:t>The two calls described above were combined with a note floated by the issuer that had a par value equal to the strike of the overlying option. The note would be used to finance the purchase of the underlying option, should the compound option be exercised. If the call remained unexercised, the holders of the options would be refunded the note proceeds. 3. The third structure was an option with a payoff defined in the prospectus as 50bbl * max(0, 4 - |F - 19|). This translates into a European butterfly, with a long position of two European calls on futures (strikes of $15.00 and $23.00) and a short position in two calls on futures with the strike of $19.00/bbl. The expiration date was December 13, 1991.The figure below shows that the third structure is effectively equivalent to a portfolio of options. Some of these options (in and out-of-the-money options) are sold to the investors; at-the-money options are sold to the issuer by the buyers of the package. Valuing this “butterfly” structure is quite straightforward and is equivalent to pricing a portfolio of long and short European options on futures.</w:t>
      </w:r>
    </w:p>
    <w:p>
      <w:pPr>
        <w:pStyle w:val="Normal"/>
        <w:jc w:val="both"/>
        <w:rPr>
          <w:sz w:val="24"/>
        </w:rPr>
      </w:pPr>
      <w:r>
        <w:rPr>
          <w:sz w:val="24"/>
        </w:rPr>
        <w:t>[INSERT “BUTTERFLY STRUCTURE FIGURE HERE]</w:t>
      </w:r>
    </w:p>
    <w:p>
      <w:pPr>
        <w:pStyle w:val="Normal"/>
        <w:jc w:val="both"/>
        <w:rPr>
          <w:sz w:val="24"/>
        </w:rPr>
      </w:pPr>
      <w:r>
        <w:rPr>
          <w:sz w:val="24"/>
        </w:rPr>
      </w:r>
    </w:p>
    <w:p>
      <w:pPr>
        <w:pStyle w:val="Normal"/>
        <w:jc w:val="both"/>
        <w:rPr>
          <w:sz w:val="24"/>
        </w:rPr>
      </w:pPr>
      <w:r>
        <w:rPr>
          <w:sz w:val="24"/>
        </w:rPr>
        <w:tab/>
        <w:t>By using this butterfly structure, the issuer effectively bought options with a strike price of $19.00, which was close to the at-the-money level, and sold calls with strikes of $15.00 and $23.00. (The price of the January 1992 crude contract on Nymex fluctuated around $19.00 at the time of the warrant issuance; it was $19.17 on March 13, $18.64 on March 25, and $19.33 on March 28.) Investors purchasing the butterfly must have believed that the future volatility would be low, since holding this structure was a bet on price stability around the $19.00 level. At-the-money call options are much more sensitive to volatility than the in-the-money and out-of-the-money options which were sold by the issuer to the investors. This allowed the issuer to effectively “buy” volatility. As we will see in a moment, the compound option structures (1) and (2) above allowed the issuer to “sell” volatility. Thus the combined issuance of the butterfly structure and the compound option structures was really a volatility arbitrage. Paribas was marketing two different structures in an attempt to “buy” volatility at a low price and “sell” high.</w:t>
        <w:tab/>
        <w:t xml:space="preserve">Evaluation of the first and second investment structures offered by Paribas requires an algorithm to price a compound option involving two non-vanilla structures: American and Asian options. The technique we used employs a binomial tree with our proprietary Asian option valuation program attached to each node. The model developed for this panel has an additional feature which allows the use of different volatilities for the construction of the tree and for the valuation of the underlying Asian option. (We shall explain shortly why this is a useful feature.) </w:t>
        <w:tab/>
        <w:t>Once this was accomplished, the pricing of the options was a straightforward exercise. The table overleaf shows pricing of the call on call and call on put at different volatility levels as of March 25, 1991, using the closing Nymex price of the relevant contract on that date. We have ignored the note component of the warrant price as, on any given date, this would be a constant. Note that the option prices in the tables above are in $/bbl and must be multiplied by 50 to give the warrant values.</w:t>
        <w:tab/>
        <w:t>The volatility at the top of each table refers to the tree volatility, the volatility over the life of the compound option. The volatility at the side refers to volatility over the life of the underlying Asian option.</w:t>
      </w:r>
    </w:p>
    <w:p>
      <w:pPr>
        <w:pStyle w:val="Normal"/>
        <w:jc w:val="both"/>
        <w:rPr>
          <w:sz w:val="24"/>
        </w:rPr>
      </w:pPr>
      <w:r>
        <w:rPr>
          <w:sz w:val="24"/>
        </w:rPr>
        <w:t>[INSERT “PRICING THE CALLS” CHART HERE]</w:t>
      </w:r>
    </w:p>
    <w:p>
      <w:pPr>
        <w:pStyle w:val="Normal"/>
        <w:jc w:val="both"/>
        <w:rPr>
          <w:sz w:val="24"/>
        </w:rPr>
      </w:pPr>
      <w:r>
        <w:rPr>
          <w:sz w:val="24"/>
        </w:rPr>
      </w:r>
    </w:p>
    <w:p>
      <w:pPr>
        <w:pStyle w:val="Normal"/>
        <w:jc w:val="both"/>
        <w:rPr>
          <w:sz w:val="24"/>
        </w:rPr>
      </w:pPr>
      <w:r>
        <w:rPr>
          <w:sz w:val="24"/>
        </w:rPr>
        <w:tab/>
        <w:t xml:space="preserve">The warrants were registered on the Luxembourg Stock Exchange. It seems that there was no active secondary market for these structures, which we suspect was partly due to their pioneering nature. The techniques of financial analysis required to price compound options of a complex nature were not sufficiently disseminated in 1991 to allow a wide range of potential buyers to do their “homework”. </w:t>
        <w:tab/>
        <w:t xml:space="preserve">But why was this structure offered at all? The answer probably lies in the special historical circumstances prevailing in 1991. In the aftermath of the Gulf War, price volatility was high by historical standards and its future course was uncertain. Different groups of investors held diverse expectations regarding future price direction and volatility. The exotic options offered by Paribas allowed both camps to make directional bets. The compound option is really a leveraged volatility play: not only does a compound option have, ceteris paribus, high vega, but the use of American options as the overlying increases premium sensitivity to s. </w:t>
        <w:tab/>
        <w:t xml:space="preserve">The issuer may have viewed this time period as an opportunity to “sell” volatility, expecting that the actual volatility over the life of the option would be lower than the current implied volatility level of the market. In March 1991, it seemed reasonable to expect that, by the time the underlying option was purchased (that is, by the time the overlying option was exercised), volatility would be much lower. This is why in our model we allow the use of different volatilities for the construction of the tree (average volatility over the period terminating on September 27, 1991) and for the life of the Asian option. </w:t>
      </w:r>
    </w:p>
    <w:p>
      <w:pPr>
        <w:pStyle w:val="Normal"/>
        <w:jc w:val="both"/>
        <w:rPr>
          <w:sz w:val="24"/>
        </w:rPr>
      </w:pPr>
      <w:r>
        <w:rPr>
          <w:sz w:val="24"/>
        </w:rPr>
      </w:r>
    </w:p>
    <w:p>
      <w:pPr>
        <w:pStyle w:val="Normal"/>
        <w:jc w:val="both"/>
        <w:rPr>
          <w:sz w:val="24"/>
        </w:rPr>
      </w:pPr>
      <w:r>
        <w:rPr>
          <w:sz w:val="24"/>
        </w:rPr>
        <w:t>[END OF PANEL 7]</w:t>
      </w:r>
    </w:p>
    <w:p>
      <w:pPr>
        <w:pStyle w:val="Normal"/>
        <w:jc w:val="both"/>
        <w:rPr>
          <w:sz w:val="24"/>
        </w:rPr>
      </w:pPr>
      <w:r>
        <w:rPr>
          <w:sz w:val="24"/>
        </w:rPr>
      </w:r>
    </w:p>
    <w:p>
      <w:pPr>
        <w:pStyle w:val="Normal"/>
        <w:jc w:val="both"/>
        <w:rPr>
          <w:sz w:val="24"/>
        </w:rPr>
      </w:pPr>
      <w:r>
        <w:rPr>
          <w:sz w:val="24"/>
        </w:rPr>
        <w:t>[PANEL 8 FOLLOWS]</w:t>
      </w:r>
    </w:p>
    <w:p>
      <w:pPr>
        <w:pStyle w:val="Normal"/>
        <w:jc w:val="both"/>
        <w:rPr>
          <w:sz w:val="24"/>
        </w:rPr>
      </w:pPr>
      <w:r>
        <w:rPr>
          <w:sz w:val="24"/>
        </w:rPr>
        <w:t>PANEL 8</w:t>
      </w:r>
    </w:p>
    <w:p>
      <w:pPr>
        <w:pStyle w:val="Normal"/>
        <w:jc w:val="both"/>
        <w:rPr>
          <w:sz w:val="24"/>
        </w:rPr>
      </w:pPr>
      <w:r>
        <w:rPr>
          <w:b/>
          <w:sz w:val="24"/>
        </w:rPr>
        <w:t>AN EXAMPLE OF PRICING SWING</w:t>
      </w:r>
    </w:p>
    <w:p>
      <w:pPr>
        <w:pStyle w:val="Heading1"/>
        <w:ind w:hanging="0" w:start="0"/>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sz w:val="24"/>
        </w:rPr>
      </w:pPr>
      <w:r>
        <w:rPr>
          <w:rFonts w:cs="Times New Roman" w:ascii="Times New Roman" w:hAnsi="Times New Roman"/>
          <w:sz w:val="24"/>
        </w:rPr>
        <w:tab/>
        <w:t>Consider a simple swing option where the customer has the right to take up to 10 MMBTU of natural gas at the end any week in a month (with 4 weeks) at a price of $2.00/MMBTU. The input parameters for the construction of the binomial forest are given below. The total volume purchased during the month should be in between 10 and 20 MMBTU. There is a penalty of $1.00/MMBtu for any shortfall below the 10 MMBtu level for the month.</w:t>
      </w:r>
    </w:p>
    <w:p>
      <w:pPr>
        <w:pStyle w:val="BodyText"/>
        <w:jc w:val="both"/>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sz w:val="24"/>
        </w:rPr>
      </w:pPr>
      <w:r>
        <w:rPr>
          <w:rFonts w:cs="Times New Roman" w:ascii="Times New Roman" w:hAnsi="Times New Roman"/>
          <w:sz w:val="24"/>
        </w:rPr>
      </w:r>
    </w:p>
    <w:tbl>
      <w:tblPr>
        <w:tblW w:w="9525" w:type="dxa"/>
        <w:jc w:val="start"/>
        <w:tblInd w:w="0" w:type="dxa"/>
        <w:tblLayout w:type="fixed"/>
        <w:tblCellMar>
          <w:top w:w="0" w:type="dxa"/>
          <w:start w:w="30" w:type="dxa"/>
          <w:bottom w:w="0" w:type="dxa"/>
          <w:end w:w="30" w:type="dxa"/>
        </w:tblCellMar>
      </w:tblPr>
      <w:tblGrid>
        <w:gridCol w:w="540"/>
        <w:gridCol w:w="810"/>
        <w:gridCol w:w="960"/>
        <w:gridCol w:w="960"/>
        <w:gridCol w:w="960"/>
        <w:gridCol w:w="1185"/>
        <w:gridCol w:w="960"/>
        <w:gridCol w:w="1095"/>
        <w:gridCol w:w="1095"/>
        <w:gridCol w:w="960"/>
      </w:tblGrid>
      <w:tr>
        <w:trPr>
          <w:trHeight w:val="80" w:hRule="atLeast"/>
        </w:trPr>
        <w:tc>
          <w:tcPr>
            <w:tcW w:w="540" w:type="dxa"/>
            <w:tcBorders/>
          </w:tcPr>
          <w:p>
            <w:pPr>
              <w:pStyle w:val="Normal"/>
              <w:snapToGrid w:val="false"/>
              <w:jc w:val="both"/>
              <w:rPr>
                <w:color w:val="000000"/>
                <w:sz w:val="24"/>
              </w:rPr>
            </w:pPr>
            <w:r>
              <w:rPr>
                <w:color w:val="000000"/>
                <w:sz w:val="24"/>
              </w:rPr>
            </w:r>
          </w:p>
        </w:tc>
        <w:tc>
          <w:tcPr>
            <w:tcW w:w="810" w:type="dxa"/>
            <w:tcBorders/>
          </w:tcPr>
          <w:p>
            <w:pPr>
              <w:pStyle w:val="Normal"/>
              <w:snapToGrid w:val="false"/>
              <w:jc w:val="both"/>
              <w:rPr>
                <w:color w:val="000000"/>
                <w:sz w:val="24"/>
              </w:rPr>
            </w:pPr>
            <w:r>
              <w:rPr>
                <w:color w:val="000000"/>
                <w:sz w:val="24"/>
              </w:rPr>
            </w:r>
          </w:p>
        </w:tc>
        <w:tc>
          <w:tcPr>
            <w:tcW w:w="1920" w:type="dxa"/>
            <w:gridSpan w:val="2"/>
            <w:tcBorders/>
          </w:tcPr>
          <w:p>
            <w:pPr>
              <w:pStyle w:val="Normal"/>
              <w:jc w:val="both"/>
              <w:rPr>
                <w:b/>
                <w:color w:val="000000"/>
                <w:sz w:val="24"/>
              </w:rPr>
            </w:pPr>
            <w:r>
              <w:rPr>
                <w:b/>
                <w:color w:val="000000"/>
                <w:sz w:val="24"/>
              </w:rPr>
              <w:t xml:space="preserve"> </w:t>
            </w:r>
            <w:r>
              <w:rPr>
                <w:b/>
                <w:color w:val="000000"/>
                <w:sz w:val="24"/>
              </w:rPr>
              <w:t>Input Parameters</w:t>
            </w:r>
          </w:p>
        </w:tc>
        <w:tc>
          <w:tcPr>
            <w:tcW w:w="0" w:type="dxa"/>
            <w:vMerge w:val="continue"/>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snapToGrid w:val="false"/>
              <w:jc w:val="both"/>
              <w:rPr>
                <w:b/>
                <w:color w:val="000000"/>
                <w:sz w:val="24"/>
              </w:rPr>
            </w:pPr>
            <w:r>
              <w:rPr>
                <w:b/>
                <w:color w:val="000000"/>
                <w:sz w:val="24"/>
              </w:rPr>
            </w:r>
          </w:p>
        </w:tc>
        <w:tc>
          <w:tcPr>
            <w:tcW w:w="2055" w:type="dxa"/>
            <w:gridSpan w:val="2"/>
            <w:tcBorders/>
          </w:tcPr>
          <w:p>
            <w:pPr>
              <w:pStyle w:val="Heading2"/>
              <w:ind w:hanging="0" w:start="0"/>
              <w:jc w:val="both"/>
              <w:rPr>
                <w:rFonts w:ascii="Times New Roman" w:hAnsi="Times New Roman" w:cs="Times New Roman"/>
                <w:sz w:val="24"/>
              </w:rPr>
            </w:pPr>
            <w:r>
              <w:rPr>
                <w:rFonts w:cs="Times New Roman" w:ascii="Times New Roman" w:hAnsi="Times New Roman"/>
                <w:sz w:val="24"/>
              </w:rPr>
              <w:t>Tree Settings</w:t>
            </w:r>
          </w:p>
        </w:tc>
        <w:tc>
          <w:tcPr>
            <w:tcW w:w="0" w:type="dxa"/>
            <w:vMerge w:val="continue"/>
            <w:tcBorders/>
          </w:tcPr>
          <w:p>
            <w:pPr>
              <w:pStyle w:val="Normal"/>
              <w:snapToGrid w:val="false"/>
              <w:jc w:val="both"/>
              <w:rPr>
                <w:rFonts w:ascii="Times New Roman" w:hAnsi="Times New Roman" w:cs="Times New Roman"/>
                <w:b/>
                <w:color w:val="000000"/>
                <w:sz w:val="24"/>
              </w:rPr>
            </w:pPr>
            <w:r>
              <w:rPr>
                <w:rFonts w:cs="Times New Roman"/>
                <w:b/>
                <w:color w:val="000000"/>
                <w:sz w:val="24"/>
              </w:rPr>
            </w:r>
          </w:p>
        </w:tc>
        <w:tc>
          <w:tcPr>
            <w:tcW w:w="1095"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r>
      <w:tr>
        <w:trPr>
          <w:trHeight w:val="64" w:hRule="atLeast"/>
        </w:trPr>
        <w:tc>
          <w:tcPr>
            <w:tcW w:w="540" w:type="dxa"/>
            <w:tcBorders/>
          </w:tcPr>
          <w:p>
            <w:pPr>
              <w:pStyle w:val="Normal"/>
              <w:snapToGrid w:val="false"/>
              <w:jc w:val="both"/>
              <w:rPr>
                <w:b/>
                <w:color w:val="000000"/>
                <w:sz w:val="24"/>
              </w:rPr>
            </w:pPr>
            <w:r>
              <w:rPr>
                <w:b/>
                <w:color w:val="000000"/>
                <w:sz w:val="24"/>
              </w:rPr>
            </w:r>
          </w:p>
        </w:tc>
        <w:tc>
          <w:tcPr>
            <w:tcW w:w="810" w:type="dxa"/>
            <w:tcBorders/>
          </w:tcPr>
          <w:p>
            <w:pPr>
              <w:pStyle w:val="Normal"/>
              <w:snapToGrid w:val="false"/>
              <w:jc w:val="both"/>
              <w:rPr>
                <w:color w:val="000000"/>
                <w:sz w:val="24"/>
              </w:rPr>
            </w:pPr>
            <w:r>
              <w:rPr>
                <w:color w:val="000000"/>
                <w:sz w:val="24"/>
              </w:rPr>
            </w:r>
          </w:p>
        </w:tc>
        <w:tc>
          <w:tcPr>
            <w:tcW w:w="960" w:type="dxa"/>
            <w:tcBorders>
              <w:bottom w:val="single" w:sz="6" w:space="0" w:color="000000"/>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960" w:type="dxa"/>
            <w:tcBorders>
              <w:bottom w:val="single" w:sz="6" w:space="0" w:color="000000"/>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095" w:type="dxa"/>
            <w:tcBorders>
              <w:bottom w:val="single" w:sz="6" w:space="0" w:color="000000"/>
            </w:tcBorders>
          </w:tcPr>
          <w:p>
            <w:pPr>
              <w:pStyle w:val="Normal"/>
              <w:snapToGrid w:val="false"/>
              <w:jc w:val="both"/>
              <w:rPr>
                <w:color w:val="000000"/>
                <w:sz w:val="24"/>
              </w:rPr>
            </w:pPr>
            <w:r>
              <w:rPr>
                <w:color w:val="000000"/>
                <w:sz w:val="24"/>
              </w:rPr>
            </w:r>
          </w:p>
        </w:tc>
        <w:tc>
          <w:tcPr>
            <w:tcW w:w="109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r>
      <w:tr>
        <w:trPr>
          <w:trHeight w:val="64" w:hRule="atLeast"/>
        </w:trPr>
        <w:tc>
          <w:tcPr>
            <w:tcW w:w="540" w:type="dxa"/>
            <w:tcBorders/>
          </w:tcPr>
          <w:p>
            <w:pPr>
              <w:pStyle w:val="Normal"/>
              <w:snapToGrid w:val="false"/>
              <w:jc w:val="both"/>
              <w:rPr>
                <w:color w:val="000000"/>
                <w:sz w:val="24"/>
              </w:rPr>
            </w:pPr>
            <w:r>
              <w:rPr>
                <w:color w:val="000000"/>
                <w:sz w:val="24"/>
              </w:rPr>
            </w:r>
          </w:p>
        </w:tc>
        <w:tc>
          <w:tcPr>
            <w:tcW w:w="810" w:type="dxa"/>
            <w:tcBorders>
              <w:end w:val="single" w:sz="6" w:space="0" w:color="000000"/>
            </w:tcBorders>
          </w:tcPr>
          <w:p>
            <w:pPr>
              <w:pStyle w:val="Normal"/>
              <w:jc w:val="both"/>
              <w:rPr>
                <w:i/>
                <w:i/>
                <w:color w:val="000000"/>
                <w:sz w:val="24"/>
              </w:rPr>
            </w:pPr>
            <w:r>
              <w:rPr>
                <w:i/>
                <w:color w:val="000000"/>
                <w:sz w:val="24"/>
              </w:rPr>
              <w:t>S</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 xml:space="preserve">$2.00 </w:t>
            </w:r>
          </w:p>
        </w:tc>
        <w:tc>
          <w:tcPr>
            <w:tcW w:w="960" w:type="dxa"/>
            <w:tcBorders>
              <w:start w:val="single" w:sz="6" w:space="0" w:color="000000"/>
              <w:end w:val="single" w:sz="6" w:space="0" w:color="000000"/>
            </w:tcBorders>
          </w:tcPr>
          <w:p>
            <w:pPr>
              <w:pStyle w:val="Normal"/>
              <w:jc w:val="both"/>
              <w:rPr>
                <w:i/>
                <w:i/>
                <w:color w:val="000000"/>
                <w:sz w:val="24"/>
              </w:rPr>
            </w:pPr>
            <w:r>
              <w:rPr>
                <w:i/>
                <w:color w:val="000000"/>
                <w:sz w:val="24"/>
              </w:rPr>
              <w:t>v</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0</w:t>
            </w:r>
          </w:p>
        </w:tc>
        <w:tc>
          <w:tcPr>
            <w:tcW w:w="118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end w:val="single" w:sz="6" w:space="0" w:color="000000"/>
            </w:tcBorders>
          </w:tcPr>
          <w:p>
            <w:pPr>
              <w:pStyle w:val="Normal"/>
              <w:jc w:val="both"/>
              <w:rPr>
                <w:i/>
                <w:i/>
                <w:color w:val="000000"/>
                <w:sz w:val="24"/>
              </w:rPr>
            </w:pPr>
            <w:r>
              <w:rPr>
                <w:i/>
                <w:color w:val="000000"/>
                <w:sz w:val="24"/>
              </w:rPr>
              <w:t>h</w:t>
            </w:r>
          </w:p>
        </w:tc>
        <w:tc>
          <w:tcPr>
            <w:tcW w:w="1095"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0.0208</w:t>
            </w:r>
          </w:p>
        </w:tc>
        <w:tc>
          <w:tcPr>
            <w:tcW w:w="109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r>
      <w:tr>
        <w:trPr>
          <w:trHeight w:val="64" w:hRule="atLeast"/>
        </w:trPr>
        <w:tc>
          <w:tcPr>
            <w:tcW w:w="540" w:type="dxa"/>
            <w:tcBorders/>
          </w:tcPr>
          <w:p>
            <w:pPr>
              <w:pStyle w:val="Normal"/>
              <w:snapToGrid w:val="false"/>
              <w:jc w:val="both"/>
              <w:rPr>
                <w:color w:val="000000"/>
                <w:sz w:val="24"/>
              </w:rPr>
            </w:pPr>
            <w:r>
              <w:rPr>
                <w:color w:val="000000"/>
                <w:sz w:val="24"/>
              </w:rPr>
            </w:r>
          </w:p>
        </w:tc>
        <w:tc>
          <w:tcPr>
            <w:tcW w:w="810" w:type="dxa"/>
            <w:tcBorders>
              <w:end w:val="single" w:sz="6" w:space="0" w:color="000000"/>
            </w:tcBorders>
          </w:tcPr>
          <w:p>
            <w:pPr>
              <w:pStyle w:val="Normal"/>
              <w:jc w:val="both"/>
              <w:rPr>
                <w:i/>
                <w:i/>
                <w:color w:val="000000"/>
                <w:sz w:val="24"/>
              </w:rPr>
            </w:pPr>
            <w:r>
              <w:rPr>
                <w:i/>
                <w:color w:val="000000"/>
                <w:sz w:val="24"/>
              </w:rPr>
              <w:t>X</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 xml:space="preserve">$2.00 </w:t>
            </w:r>
          </w:p>
        </w:tc>
        <w:tc>
          <w:tcPr>
            <w:tcW w:w="960" w:type="dxa"/>
            <w:tcBorders>
              <w:start w:val="single" w:sz="6" w:space="0" w:color="000000"/>
              <w:end w:val="single" w:sz="6" w:space="0" w:color="000000"/>
            </w:tcBorders>
          </w:tcPr>
          <w:p>
            <w:pPr>
              <w:pStyle w:val="Normal"/>
              <w:jc w:val="both"/>
              <w:rPr>
                <w:i/>
                <w:i/>
                <w:color w:val="000000"/>
                <w:sz w:val="24"/>
              </w:rPr>
            </w:pPr>
            <w:r>
              <w:rPr>
                <w:i/>
                <w:color w:val="000000"/>
                <w:sz w:val="24"/>
              </w:rPr>
              <w:t>V</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10</w:t>
            </w:r>
          </w:p>
        </w:tc>
        <w:tc>
          <w:tcPr>
            <w:tcW w:w="118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end w:val="single" w:sz="6" w:space="0" w:color="000000"/>
            </w:tcBorders>
          </w:tcPr>
          <w:p>
            <w:pPr>
              <w:pStyle w:val="Normal"/>
              <w:jc w:val="both"/>
              <w:rPr>
                <w:i/>
                <w:i/>
                <w:color w:val="000000"/>
                <w:sz w:val="24"/>
              </w:rPr>
            </w:pPr>
            <w:r>
              <w:rPr>
                <w:i/>
                <w:color w:val="000000"/>
                <w:sz w:val="24"/>
              </w:rPr>
              <w:t>u</w:t>
            </w:r>
          </w:p>
        </w:tc>
        <w:tc>
          <w:tcPr>
            <w:tcW w:w="1095"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1.0443</w:t>
            </w:r>
          </w:p>
        </w:tc>
        <w:tc>
          <w:tcPr>
            <w:tcW w:w="109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r>
      <w:tr>
        <w:trPr>
          <w:trHeight w:val="64" w:hRule="atLeast"/>
        </w:trPr>
        <w:tc>
          <w:tcPr>
            <w:tcW w:w="540" w:type="dxa"/>
            <w:tcBorders/>
          </w:tcPr>
          <w:p>
            <w:pPr>
              <w:pStyle w:val="Normal"/>
              <w:snapToGrid w:val="false"/>
              <w:jc w:val="both"/>
              <w:rPr>
                <w:color w:val="000000"/>
                <w:sz w:val="24"/>
              </w:rPr>
            </w:pPr>
            <w:r>
              <w:rPr>
                <w:color w:val="000000"/>
                <w:sz w:val="24"/>
              </w:rPr>
            </w:r>
          </w:p>
        </w:tc>
        <w:tc>
          <w:tcPr>
            <w:tcW w:w="810" w:type="dxa"/>
            <w:tcBorders>
              <w:end w:val="single" w:sz="6" w:space="0" w:color="000000"/>
            </w:tcBorders>
          </w:tcPr>
          <w:p>
            <w:pPr>
              <w:pStyle w:val="Normal"/>
              <w:jc w:val="both"/>
              <w:rPr>
                <w:i/>
                <w:i/>
                <w:color w:val="000000"/>
                <w:sz w:val="24"/>
              </w:rPr>
            </w:pPr>
            <w:r>
              <w:rPr>
                <w:i/>
                <w:color w:val="000000"/>
                <w:sz w:val="24"/>
              </w:rPr>
              <w:t>r</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5%</w:t>
            </w:r>
          </w:p>
        </w:tc>
        <w:tc>
          <w:tcPr>
            <w:tcW w:w="960" w:type="dxa"/>
            <w:tcBorders>
              <w:start w:val="single" w:sz="6" w:space="0" w:color="000000"/>
              <w:end w:val="single" w:sz="6" w:space="0" w:color="000000"/>
            </w:tcBorders>
          </w:tcPr>
          <w:p>
            <w:pPr>
              <w:pStyle w:val="Normal"/>
              <w:jc w:val="both"/>
              <w:rPr/>
            </w:pPr>
            <w:r>
              <w:rPr>
                <w:i/>
                <w:color w:val="000000"/>
                <w:sz w:val="24"/>
              </w:rPr>
              <w:t>M</w:t>
            </w:r>
            <w:r>
              <w:rPr>
                <w:color w:val="000000"/>
                <w:sz w:val="24"/>
              </w:rPr>
              <w:t>min</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1</w:t>
            </w:r>
          </w:p>
        </w:tc>
        <w:tc>
          <w:tcPr>
            <w:tcW w:w="118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end w:val="single" w:sz="6" w:space="0" w:color="000000"/>
            </w:tcBorders>
          </w:tcPr>
          <w:p>
            <w:pPr>
              <w:pStyle w:val="Normal"/>
              <w:jc w:val="both"/>
              <w:rPr>
                <w:i/>
                <w:i/>
                <w:color w:val="000000"/>
                <w:sz w:val="24"/>
              </w:rPr>
            </w:pPr>
            <w:r>
              <w:rPr>
                <w:i/>
                <w:color w:val="000000"/>
                <w:sz w:val="24"/>
              </w:rPr>
              <w:t>d</w:t>
            </w:r>
          </w:p>
        </w:tc>
        <w:tc>
          <w:tcPr>
            <w:tcW w:w="1095"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0.9576</w:t>
            </w:r>
          </w:p>
        </w:tc>
        <w:tc>
          <w:tcPr>
            <w:tcW w:w="109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r>
      <w:tr>
        <w:trPr>
          <w:trHeight w:val="64" w:hRule="atLeast"/>
        </w:trPr>
        <w:tc>
          <w:tcPr>
            <w:tcW w:w="540" w:type="dxa"/>
            <w:tcBorders/>
          </w:tcPr>
          <w:p>
            <w:pPr>
              <w:pStyle w:val="Normal"/>
              <w:snapToGrid w:val="false"/>
              <w:jc w:val="both"/>
              <w:rPr>
                <w:color w:val="000000"/>
                <w:sz w:val="24"/>
              </w:rPr>
            </w:pPr>
            <w:r>
              <w:rPr>
                <w:color w:val="000000"/>
                <w:sz w:val="24"/>
              </w:rPr>
            </w:r>
          </w:p>
        </w:tc>
        <w:tc>
          <w:tcPr>
            <w:tcW w:w="810" w:type="dxa"/>
            <w:tcBorders>
              <w:end w:val="single" w:sz="6" w:space="0" w:color="000000"/>
            </w:tcBorders>
          </w:tcPr>
          <w:p>
            <w:pPr>
              <w:pStyle w:val="Normal"/>
              <w:jc w:val="both"/>
              <w:rPr>
                <w:i/>
                <w:i/>
                <w:color w:val="000000"/>
                <w:sz w:val="24"/>
              </w:rPr>
            </w:pPr>
            <w:r>
              <w:rPr/>
              <w:object w:dxaOrig="180" w:dyaOrig="18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9pt;height:9pt" filled="f" o:ole="">
                  <v:imagedata r:id="rId93" o:title=""/>
                </v:shape>
                <o:OLEObject Type="Embed" ProgID="" ShapeID="ole_rId92" DrawAspect="Content" ObjectID="_29247495" r:id="rId92"/>
              </w:objec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30%</w:t>
            </w:r>
          </w:p>
        </w:tc>
        <w:tc>
          <w:tcPr>
            <w:tcW w:w="960" w:type="dxa"/>
            <w:tcBorders>
              <w:start w:val="single" w:sz="6" w:space="0" w:color="000000"/>
              <w:end w:val="single" w:sz="6" w:space="0" w:color="000000"/>
            </w:tcBorders>
          </w:tcPr>
          <w:p>
            <w:pPr>
              <w:pStyle w:val="Normal"/>
              <w:jc w:val="both"/>
              <w:rPr/>
            </w:pPr>
            <w:r>
              <w:rPr>
                <w:i/>
                <w:color w:val="000000"/>
                <w:sz w:val="24"/>
              </w:rPr>
              <w:t>M</w:t>
            </w:r>
            <w:r>
              <w:rPr>
                <w:color w:val="000000"/>
                <w:sz w:val="24"/>
              </w:rPr>
              <w:t>max</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3</w:t>
            </w:r>
          </w:p>
        </w:tc>
        <w:tc>
          <w:tcPr>
            <w:tcW w:w="118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end w:val="single" w:sz="6" w:space="0" w:color="000000"/>
            </w:tcBorders>
          </w:tcPr>
          <w:p>
            <w:pPr>
              <w:pStyle w:val="Normal"/>
              <w:jc w:val="both"/>
              <w:rPr>
                <w:i/>
                <w:i/>
                <w:color w:val="000000"/>
                <w:sz w:val="24"/>
              </w:rPr>
            </w:pPr>
            <w:r>
              <w:rPr>
                <w:i/>
                <w:color w:val="000000"/>
              </w:rPr>
            </w:r>
            <m:oMathPara xmlns:m="http://schemas.openxmlformats.org/officeDocument/2006/math">
              <m:oMathParaPr>
                <m:jc m:val="left"/>
              </m:oMathParaPr>
              <m:oMath>
                <m:r>
                  <m:t xml:space="preserve">ε</m:t>
                </m:r>
              </m:oMath>
            </m:oMathPara>
          </w:p>
        </w:tc>
        <w:tc>
          <w:tcPr>
            <w:tcW w:w="1095"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0.9990</w:t>
            </w:r>
          </w:p>
        </w:tc>
        <w:tc>
          <w:tcPr>
            <w:tcW w:w="109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r>
      <w:tr>
        <w:trPr>
          <w:trHeight w:val="64" w:hRule="atLeast"/>
        </w:trPr>
        <w:tc>
          <w:tcPr>
            <w:tcW w:w="540" w:type="dxa"/>
            <w:tcBorders/>
          </w:tcPr>
          <w:p>
            <w:pPr>
              <w:pStyle w:val="Normal"/>
              <w:snapToGrid w:val="false"/>
              <w:jc w:val="both"/>
              <w:rPr>
                <w:color w:val="000000"/>
                <w:sz w:val="24"/>
              </w:rPr>
            </w:pPr>
            <w:r>
              <w:rPr>
                <w:color w:val="000000"/>
                <w:sz w:val="24"/>
              </w:rPr>
            </w:r>
          </w:p>
        </w:tc>
        <w:tc>
          <w:tcPr>
            <w:tcW w:w="810" w:type="dxa"/>
            <w:tcBorders>
              <w:end w:val="single" w:sz="6" w:space="0" w:color="000000"/>
            </w:tcBorders>
          </w:tcPr>
          <w:p>
            <w:pPr>
              <w:pStyle w:val="Normal"/>
              <w:jc w:val="both"/>
              <w:rPr>
                <w:i/>
                <w:i/>
                <w:color w:val="000000"/>
                <w:sz w:val="24"/>
              </w:rPr>
            </w:pPr>
            <w:r>
              <w:rPr>
                <w:i/>
                <w:color w:val="000000"/>
                <w:sz w:val="24"/>
              </w:rPr>
              <w:t>T</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 xml:space="preserve">  </w:t>
            </w:r>
            <w:r>
              <w:rPr>
                <w:color w:val="000000"/>
                <w:sz w:val="24"/>
              </w:rPr>
              <w:t>1/12</w:t>
            </w:r>
          </w:p>
        </w:tc>
        <w:tc>
          <w:tcPr>
            <w:tcW w:w="960" w:type="dxa"/>
            <w:tcBorders>
              <w:start w:val="single" w:sz="6" w:space="0" w:color="000000"/>
              <w:end w:val="single" w:sz="6" w:space="0" w:color="000000"/>
            </w:tcBorders>
          </w:tcPr>
          <w:p>
            <w:pPr>
              <w:pStyle w:val="Normal"/>
              <w:jc w:val="both"/>
              <w:rPr/>
            </w:pPr>
            <w:r>
              <w:rPr>
                <w:i/>
                <w:color w:val="000000"/>
                <w:sz w:val="24"/>
              </w:rPr>
              <w:t>V</w:t>
            </w:r>
            <w:r>
              <w:rPr>
                <w:color w:val="000000"/>
                <w:sz w:val="24"/>
              </w:rPr>
              <w:t>min</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10</w:t>
            </w:r>
          </w:p>
        </w:tc>
        <w:tc>
          <w:tcPr>
            <w:tcW w:w="118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end w:val="single" w:sz="6" w:space="0" w:color="000000"/>
            </w:tcBorders>
          </w:tcPr>
          <w:p>
            <w:pPr>
              <w:pStyle w:val="Normal"/>
              <w:jc w:val="both"/>
              <w:rPr>
                <w:i/>
                <w:i/>
                <w:color w:val="000000"/>
                <w:sz w:val="24"/>
              </w:rPr>
            </w:pPr>
            <w:r>
              <w:rPr>
                <w:i/>
                <w:color w:val="000000"/>
                <w:sz w:val="24"/>
              </w:rPr>
              <w:t>p</w:t>
            </w:r>
          </w:p>
        </w:tc>
        <w:tc>
          <w:tcPr>
            <w:tcW w:w="1095"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0.5012</w:t>
            </w:r>
          </w:p>
        </w:tc>
        <w:tc>
          <w:tcPr>
            <w:tcW w:w="109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r>
      <w:tr>
        <w:trPr>
          <w:trHeight w:val="64" w:hRule="atLeast"/>
        </w:trPr>
        <w:tc>
          <w:tcPr>
            <w:tcW w:w="540" w:type="dxa"/>
            <w:tcBorders/>
          </w:tcPr>
          <w:p>
            <w:pPr>
              <w:pStyle w:val="Normal"/>
              <w:snapToGrid w:val="false"/>
              <w:jc w:val="both"/>
              <w:rPr>
                <w:color w:val="000000"/>
                <w:sz w:val="24"/>
              </w:rPr>
            </w:pPr>
            <w:r>
              <w:rPr>
                <w:color w:val="000000"/>
                <w:sz w:val="24"/>
              </w:rPr>
            </w:r>
          </w:p>
        </w:tc>
        <w:tc>
          <w:tcPr>
            <w:tcW w:w="810" w:type="dxa"/>
            <w:tcBorders>
              <w:end w:val="single" w:sz="6" w:space="0" w:color="000000"/>
            </w:tcBorders>
          </w:tcPr>
          <w:p>
            <w:pPr>
              <w:pStyle w:val="Normal"/>
              <w:jc w:val="both"/>
              <w:rPr>
                <w:i/>
                <w:i/>
                <w:color w:val="000000"/>
                <w:sz w:val="24"/>
              </w:rPr>
            </w:pPr>
            <w:r>
              <w:rPr>
                <w:i/>
                <w:color w:val="000000"/>
                <w:sz w:val="24"/>
              </w:rPr>
              <w:t>N</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4</w:t>
            </w:r>
          </w:p>
        </w:tc>
        <w:tc>
          <w:tcPr>
            <w:tcW w:w="960" w:type="dxa"/>
            <w:tcBorders>
              <w:start w:val="single" w:sz="6" w:space="0" w:color="000000"/>
              <w:end w:val="single" w:sz="6" w:space="0" w:color="000000"/>
            </w:tcBorders>
          </w:tcPr>
          <w:p>
            <w:pPr>
              <w:pStyle w:val="Normal"/>
              <w:jc w:val="both"/>
              <w:rPr/>
            </w:pPr>
            <w:r>
              <w:rPr>
                <w:i/>
                <w:color w:val="000000"/>
                <w:sz w:val="24"/>
              </w:rPr>
              <w:t>V</w:t>
            </w:r>
            <w:r>
              <w:rPr>
                <w:color w:val="000000"/>
                <w:sz w:val="24"/>
              </w:rPr>
              <w:t>max</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30</w:t>
            </w:r>
          </w:p>
        </w:tc>
        <w:tc>
          <w:tcPr>
            <w:tcW w:w="118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end w:val="single" w:sz="6" w:space="0" w:color="000000"/>
            </w:tcBorders>
          </w:tcPr>
          <w:p>
            <w:pPr>
              <w:pStyle w:val="Normal"/>
              <w:jc w:val="both"/>
              <w:rPr>
                <w:i/>
                <w:i/>
                <w:color w:val="000000"/>
                <w:sz w:val="24"/>
              </w:rPr>
            </w:pPr>
            <w:r>
              <w:rPr>
                <w:i/>
                <w:color w:val="000000"/>
                <w:sz w:val="24"/>
              </w:rPr>
              <w:t>q=1-p</w:t>
            </w:r>
          </w:p>
        </w:tc>
        <w:tc>
          <w:tcPr>
            <w:tcW w:w="1095"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0.4988</w:t>
            </w:r>
          </w:p>
        </w:tc>
        <w:tc>
          <w:tcPr>
            <w:tcW w:w="109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r>
      <w:tr>
        <w:trPr>
          <w:trHeight w:val="64" w:hRule="atLeast"/>
        </w:trPr>
        <w:tc>
          <w:tcPr>
            <w:tcW w:w="540" w:type="dxa"/>
            <w:tcBorders/>
          </w:tcPr>
          <w:p>
            <w:pPr>
              <w:pStyle w:val="Normal"/>
              <w:snapToGrid w:val="false"/>
              <w:jc w:val="both"/>
              <w:rPr>
                <w:color w:val="000000"/>
                <w:sz w:val="24"/>
              </w:rPr>
            </w:pPr>
            <w:r>
              <w:rPr>
                <w:color w:val="000000"/>
                <w:sz w:val="24"/>
              </w:rPr>
            </w:r>
          </w:p>
        </w:tc>
        <w:tc>
          <w:tcPr>
            <w:tcW w:w="810" w:type="dxa"/>
            <w:tcBorders/>
          </w:tcPr>
          <w:p>
            <w:pPr>
              <w:pStyle w:val="Normal"/>
              <w:snapToGrid w:val="false"/>
              <w:jc w:val="both"/>
              <w:rPr>
                <w:color w:val="000000"/>
                <w:sz w:val="24"/>
              </w:rPr>
            </w:pPr>
            <w:r>
              <w:rPr>
                <w:color w:val="000000"/>
                <w:sz w:val="24"/>
              </w:rPr>
            </w:r>
          </w:p>
        </w:tc>
        <w:tc>
          <w:tcPr>
            <w:tcW w:w="960" w:type="dxa"/>
            <w:tcBorders>
              <w:top w:val="single" w:sz="6" w:space="0" w:color="000000"/>
            </w:tcBorders>
          </w:tcPr>
          <w:p>
            <w:pPr>
              <w:pStyle w:val="Normal"/>
              <w:snapToGrid w:val="false"/>
              <w:jc w:val="both"/>
              <w:rPr>
                <w:color w:val="000000"/>
                <w:sz w:val="24"/>
              </w:rPr>
            </w:pPr>
            <w:r>
              <w:rPr>
                <w:color w:val="000000"/>
                <w:sz w:val="24"/>
              </w:rPr>
            </w:r>
          </w:p>
        </w:tc>
        <w:tc>
          <w:tcPr>
            <w:tcW w:w="960" w:type="dxa"/>
            <w:tcBorders>
              <w:end w:val="single" w:sz="6" w:space="0" w:color="000000"/>
            </w:tcBorders>
          </w:tcPr>
          <w:p>
            <w:pPr>
              <w:pStyle w:val="Normal"/>
              <w:jc w:val="both"/>
              <w:rPr>
                <w:i/>
                <w:i/>
                <w:color w:val="000000"/>
                <w:sz w:val="24"/>
              </w:rPr>
            </w:pPr>
            <w:r>
              <w:rPr>
                <w:i/>
                <w:color w:val="000000"/>
                <w:sz w:val="24"/>
              </w:rPr>
              <w:t>c</w:t>
            </w:r>
          </w:p>
        </w:tc>
        <w:tc>
          <w:tcPr>
            <w:tcW w:w="960" w:type="dxa"/>
            <w:tcBorders>
              <w:top w:val="single" w:sz="6" w:space="0" w:color="000000"/>
              <w:start w:val="single" w:sz="6" w:space="0" w:color="000000"/>
              <w:bottom w:val="single" w:sz="6" w:space="0" w:color="000000"/>
              <w:end w:val="single" w:sz="6" w:space="0" w:color="000000"/>
            </w:tcBorders>
          </w:tcPr>
          <w:p>
            <w:pPr>
              <w:pStyle w:val="Normal"/>
              <w:jc w:val="both"/>
              <w:rPr>
                <w:color w:val="000000"/>
                <w:sz w:val="24"/>
              </w:rPr>
            </w:pPr>
            <w:r>
              <w:rPr>
                <w:color w:val="000000"/>
                <w:sz w:val="24"/>
              </w:rPr>
              <w:t xml:space="preserve">$1.00 </w:t>
            </w:r>
          </w:p>
        </w:tc>
        <w:tc>
          <w:tcPr>
            <w:tcW w:w="1185" w:type="dxa"/>
            <w:tcBorders>
              <w:start w:val="single" w:sz="6" w:space="0" w:color="000000"/>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op w:val="single" w:sz="6" w:space="0" w:color="000000"/>
            </w:tcBorders>
          </w:tcPr>
          <w:p>
            <w:pPr>
              <w:pStyle w:val="Normal"/>
              <w:snapToGrid w:val="false"/>
              <w:jc w:val="both"/>
              <w:rPr>
                <w:color w:val="000000"/>
                <w:sz w:val="24"/>
              </w:rPr>
            </w:pPr>
            <w:r>
              <w:rPr>
                <w:color w:val="000000"/>
                <w:sz w:val="24"/>
              </w:rPr>
            </w:r>
          </w:p>
        </w:tc>
        <w:tc>
          <w:tcPr>
            <w:tcW w:w="109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r>
    </w:tbl>
    <w:p>
      <w:pPr>
        <w:pStyle w:val="Normal"/>
        <w:jc w:val="both"/>
        <w:rPr>
          <w:sz w:val="24"/>
        </w:rPr>
      </w:pPr>
      <w:r>
        <w:rPr>
          <w:sz w:val="24"/>
        </w:rPr>
      </w:r>
    </w:p>
    <w:p>
      <w:pPr>
        <w:pStyle w:val="Footer"/>
        <w:tabs>
          <w:tab w:val="clear" w:pos="4320"/>
          <w:tab w:val="clear" w:pos="8640"/>
        </w:tabs>
        <w:jc w:val="both"/>
        <w:rPr>
          <w:sz w:val="24"/>
          <w:lang w:val="en-CA"/>
        </w:rPr>
      </w:pPr>
      <w:r>
        <w:rPr>
          <w:sz w:val="24"/>
          <w:lang w:val="en-CA"/>
        </w:rPr>
        <mc:AlternateContent>
          <mc:Choice Requires="wps">
            <w:drawing>
              <wp:anchor behindDoc="0" distT="0" distB="0" distL="114935" distR="114935" simplePos="0" locked="0" layoutInCell="1" allowOverlap="1" relativeHeight="199">
                <wp:simplePos x="0" y="0"/>
                <wp:positionH relativeFrom="column">
                  <wp:posOffset>209550</wp:posOffset>
                </wp:positionH>
                <wp:positionV relativeFrom="paragraph">
                  <wp:posOffset>102870</wp:posOffset>
                </wp:positionV>
                <wp:extent cx="3566160" cy="1645920"/>
                <wp:effectExtent l="5080" t="5080" r="5715" b="5080"/>
                <wp:wrapNone/>
                <wp:docPr id="1" name=""/>
                <a:graphic xmlns:a="http://schemas.openxmlformats.org/drawingml/2006/main">
                  <a:graphicData uri="http://schemas.microsoft.com/office/word/2010/wordprocessingShape">
                    <wps:wsp>
                      <wps:cNvSpPr/>
                      <wps:spPr>
                        <a:xfrm>
                          <a:off x="0" y="0"/>
                          <a:ext cx="3566160" cy="1645920"/>
                        </a:xfrm>
                        <a:custGeom>
                          <a:avLst/>
                          <a:gdLst/>
                          <a:ahLst/>
                          <a:rect l="l" t="t" r="r" b="b"/>
                          <a:pathLst>
                            <a:path w="20000" h="20000">
                              <a:moveTo>
                                <a:pt x="10000" y="0"/>
                              </a:moveTo>
                              <a:lnTo>
                                <a:pt x="0" y="20000"/>
                              </a:lnTo>
                              <a:lnTo>
                                <a:pt x="20000" y="20000"/>
                              </a:lnTo>
                              <a:lnTo>
                                <a:pt x="1000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10000,0l0,20000l20000,20000l10000,0xe" stroked="t" o:allowincell="f" style="position:absolute;margin-left:16.5pt;margin-top:8.1pt;width:280.75pt;height:129.55pt;mso-wrap-style:none;v-text-anchor:middle">
                <v:fill o:detectmouseclick="t" on="false"/>
                <v:stroke color="black" weight="9360" joinstyle="round" endcap="flat"/>
                <w10:wrap type="none"/>
              </v:shape>
            </w:pict>
          </mc:Fallback>
        </mc:AlternateContent>
      </w:r>
    </w:p>
    <w:tbl>
      <w:tblPr>
        <w:tblW w:w="6120" w:type="dxa"/>
        <w:jc w:val="start"/>
        <w:tblInd w:w="0" w:type="dxa"/>
        <w:tblLayout w:type="fixed"/>
        <w:tblCellMar>
          <w:top w:w="0" w:type="dxa"/>
          <w:start w:w="30" w:type="dxa"/>
          <w:bottom w:w="0" w:type="dxa"/>
          <w:end w:w="30" w:type="dxa"/>
        </w:tblCellMar>
      </w:tblPr>
      <w:tblGrid>
        <w:gridCol w:w="960"/>
        <w:gridCol w:w="960"/>
        <w:gridCol w:w="960"/>
        <w:gridCol w:w="1185"/>
        <w:gridCol w:w="960"/>
        <w:gridCol w:w="1095"/>
      </w:tblGrid>
      <w:tr>
        <w:trPr>
          <w:trHeight w:val="64" w:hRule="atLeast"/>
        </w:trPr>
        <w:tc>
          <w:tcPr>
            <w:tcW w:w="2880" w:type="dxa"/>
            <w:gridSpan w:val="3"/>
            <w:tcBorders/>
          </w:tcPr>
          <w:p>
            <w:pPr>
              <w:pStyle w:val="Normal"/>
              <w:jc w:val="both"/>
              <w:rPr>
                <w:b/>
                <w:color w:val="000000"/>
                <w:sz w:val="24"/>
              </w:rPr>
            </w:pPr>
            <w:r>
              <w:rPr>
                <w:b/>
                <w:color w:val="000000"/>
                <w:sz w:val="24"/>
              </w:rPr>
              <w:t>Commodity Price Tree</w:t>
            </w:r>
          </w:p>
        </w:tc>
        <w:tc>
          <w:tcPr>
            <w:tcW w:w="1185"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2.378</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2.277</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jc w:val="both"/>
              <w:rPr>
                <w:color w:val="000000"/>
                <w:sz w:val="24"/>
              </w:rPr>
            </w:pPr>
            <w:r>
              <w:rPr>
                <w:color w:val="000000"/>
                <w:sz w:val="24"/>
              </w:rPr>
              <w:t>2.181</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2.181</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jc w:val="both"/>
              <w:rPr>
                <w:color w:val="000000"/>
                <w:sz w:val="24"/>
              </w:rPr>
            </w:pPr>
            <w:r>
              <w:rPr>
                <w:color w:val="000000"/>
                <w:sz w:val="24"/>
              </w:rPr>
              <w:t>2.089</w:t>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2.089</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2.000</w:t>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jc w:val="both"/>
              <w:rPr>
                <w:color w:val="000000"/>
                <w:sz w:val="24"/>
              </w:rPr>
            </w:pPr>
            <w:r>
              <w:rPr>
                <w:color w:val="000000"/>
                <w:sz w:val="24"/>
              </w:rPr>
              <w:t>2.000</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2.000</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1.915</w:t>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1.915</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jc w:val="both"/>
              <w:rPr>
                <w:color w:val="000000"/>
                <w:sz w:val="24"/>
              </w:rPr>
            </w:pPr>
            <w:r>
              <w:rPr>
                <w:color w:val="000000"/>
                <w:sz w:val="24"/>
              </w:rPr>
              <w:t>1.834</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1.834</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1.756</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1.682</w:t>
            </w:r>
          </w:p>
        </w:tc>
      </w:tr>
    </w:tbl>
    <w:p>
      <w:pPr>
        <w:pStyle w:val="Footer"/>
        <w:tabs>
          <w:tab w:val="clear" w:pos="4320"/>
          <w:tab w:val="clear" w:pos="8640"/>
          <w:tab w:val="left" w:pos="720" w:leader="none"/>
          <w:tab w:val="left" w:pos="2880" w:leader="none"/>
        </w:tabs>
        <w:jc w:val="both"/>
        <w:rPr/>
      </w:pPr>
      <w:r>
        <w:rPr/>
      </w:r>
    </w:p>
    <w:p>
      <w:pPr>
        <w:pStyle w:val="Footer"/>
        <w:tabs>
          <w:tab w:val="clear" w:pos="4320"/>
          <w:tab w:val="clear" w:pos="8640"/>
          <w:tab w:val="left" w:pos="720" w:leader="none"/>
          <w:tab w:val="left" w:pos="2880" w:leader="none"/>
        </w:tabs>
        <w:jc w:val="both"/>
        <w:rPr/>
      </w:pPr>
      <w:r>
        <w:rPr/>
        <w:t xml:space="preserve"> </w:t>
      </w:r>
    </w:p>
    <w:p>
      <w:pPr>
        <w:pStyle w:val="BodyText"/>
        <w:ind w:firstLine="720" w:end="0"/>
        <w:jc w:val="both"/>
        <w:rPr/>
      </w:pPr>
      <w:r>
        <w:rPr>
          <w:rFonts w:cs="Times New Roman" w:ascii="Times New Roman" w:hAnsi="Times New Roman"/>
          <w:sz w:val="24"/>
        </w:rPr>
        <w:t>To construct the binomial tree we use only four time steps (with time step = 1/4 month) for simplicity. Once the the binomial tree for the price movement is constructed, we can calculate the option value by constructing binomial trees at 4 different planes corresponding to different levels (</w:t>
      </w:r>
      <w:r>
        <w:rPr>
          <w:rFonts w:cs="Times New Roman" w:ascii="Times New Roman" w:hAnsi="Times New Roman"/>
        </w:rPr>
      </w:r>
      <m:oMath xmlns:m="http://schemas.openxmlformats.org/officeDocument/2006/math">
        <m:r>
          <m:t xml:space="preserve">k</m:t>
        </m:r>
        <m:r>
          <m:t xml:space="preserve">=</m:t>
        </m:r>
        <m:r>
          <m:t xml:space="preserve">0,1,2,3</m:t>
        </m:r>
      </m:oMath>
      <w:r>
        <w:rPr>
          <w:rFonts w:cs="Times New Roman" w:ascii="Times New Roman" w:hAnsi="Times New Roman"/>
          <w:sz w:val="24"/>
        </w:rPr>
        <w:t>) of volume purchased so far. In figure XX, we have shown some of the flows of values during computation. We can start at the bottom most tree (</w:t>
      </w:r>
      <w:r>
        <w:rPr>
          <w:rFonts w:cs="Times New Roman" w:ascii="Times New Roman" w:hAnsi="Times New Roman"/>
        </w:rPr>
      </w:r>
      <m:oMath xmlns:m="http://schemas.openxmlformats.org/officeDocument/2006/math">
        <m:r>
          <m:t xml:space="preserve">k</m:t>
        </m:r>
        <m:r>
          <m:t xml:space="preserve">=</m:t>
        </m:r>
        <m:r>
          <m:t xml:space="preserve">3</m:t>
        </m:r>
      </m:oMath>
      <w:r>
        <w:rPr>
          <w:rFonts w:cs="Times New Roman" w:ascii="Times New Roman" w:hAnsi="Times New Roman"/>
          <w:sz w:val="24"/>
        </w:rPr>
        <w:t xml:space="preserve">). Since the maximum value for </w:t>
      </w:r>
      <w:r>
        <w:rPr>
          <w:rFonts w:cs="Times New Roman" w:ascii="Times New Roman" w:hAnsi="Times New Roman"/>
          <w:i/>
          <w:sz w:val="24"/>
        </w:rPr>
        <w:t>k</w:t>
      </w:r>
      <w:r>
        <w:rPr>
          <w:rFonts w:cs="Times New Roman" w:ascii="Times New Roman" w:hAnsi="Times New Roman"/>
          <w:sz w:val="24"/>
        </w:rPr>
        <w:t xml:space="preserve"> is 3, there is no optionality left here, so the option values are all zero. We can now proceed to construct the tree corresponding to </w:t>
      </w:r>
      <w:r>
        <w:rPr>
          <w:rFonts w:cs="Times New Roman" w:ascii="Times New Roman" w:hAnsi="Times New Roman"/>
        </w:rPr>
      </w:r>
      <m:oMath xmlns:m="http://schemas.openxmlformats.org/officeDocument/2006/math">
        <m:r>
          <m:t xml:space="preserve">k</m:t>
        </m:r>
        <m:r>
          <m:t xml:space="preserve">=</m:t>
        </m:r>
        <m:r>
          <m:t xml:space="preserve">2</m:t>
        </m:r>
      </m:oMath>
      <w:r>
        <w:rPr>
          <w:rFonts w:cs="Times New Roman" w:ascii="Times New Roman" w:hAnsi="Times New Roman"/>
          <w:sz w:val="24"/>
        </w:rPr>
        <w:t>. At each node we have to evaluate the two alternatives available to us: to take the minimum (0) or the maximum (10 MMBTU) volume. For example, for the node highlighted in light green (</w:t>
      </w:r>
      <w:r>
        <w:rPr>
          <w:rFonts w:cs="Times New Roman" w:ascii="Times New Roman" w:hAnsi="Times New Roman"/>
        </w:rPr>
      </w:r>
      <m:oMath xmlns:m="http://schemas.openxmlformats.org/officeDocument/2006/math">
        <m:r>
          <m:t xml:space="preserve">i</m:t>
        </m:r>
        <m:r>
          <m:t xml:space="preserve">=</m:t>
        </m:r>
        <m:r>
          <m:t xml:space="preserve">3</m:t>
        </m:r>
        <m:r>
          <m:t xml:space="preserve">,</m:t>
        </m:r>
        <m:r>
          <m:t xml:space="preserve">j</m:t>
        </m:r>
        <m:r>
          <m:t xml:space="preserve">=</m:t>
        </m:r>
        <m:r>
          <m:t xml:space="preserve">2</m:t>
        </m:r>
        <m:r>
          <m:t xml:space="preserve">,</m:t>
        </m:r>
        <m:r>
          <m:t xml:space="preserve">k</m:t>
        </m:r>
        <m:r>
          <m:t xml:space="preserve">=</m:t>
        </m:r>
        <m:r>
          <m:t xml:space="preserve">2</m:t>
        </m:r>
      </m:oMath>
      <w:r>
        <w:rPr>
          <w:rFonts w:cs="Times New Roman" w:ascii="Times New Roman" w:hAnsi="Times New Roman"/>
          <w:sz w:val="24"/>
        </w:rPr>
        <w:t>), we have</w:t>
      </w:r>
    </w:p>
    <w:p>
      <w:pPr>
        <w:pStyle w:val="BodyText"/>
        <w:ind w:firstLine="720" w:end="0"/>
        <w:jc w:val="both"/>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rPr>
      </w:r>
      <m:oMath xmlns:m="http://schemas.openxmlformats.org/officeDocument/2006/math">
        <m:eqArr>
          <m:e>
            <m:r>
              <m:rPr>
                <m:lit/>
                <m:nor/>
              </m:rPr>
              <m:t xml:space="preserve">Option Value </m:t>
            </m:r>
            <m:sSubSup>
              <m:e>
                <m:r>
                  <m:t xml:space="preserve">F</m:t>
                </m:r>
              </m:e>
              <m:sub>
                <m:r>
                  <m:t xml:space="preserve">3,2</m:t>
                </m:r>
              </m:sub>
              <m:sup>
                <m:r>
                  <m:t xml:space="preserve">2</m:t>
                </m:r>
              </m:sup>
            </m:sSubSup>
            <m:r>
              <m:t xml:space="preserve">=</m:t>
            </m:r>
            <m:r>
              <m:rPr>
                <m:lit/>
                <m:nor/>
              </m:rPr>
              <m:t xml:space="preserve">max</m:t>
            </m:r>
            <m:d>
              <m:dPr>
                <m:begChr m:val="{"/>
                <m:endChr m:val="}"/>
              </m:dPr>
              <m:e>
                <m:m>
                  <m:mr>
                    <m:e>
                      <m:r>
                        <m:rPr>
                          <m:lit/>
                          <m:nor/>
                        </m:rPr>
                        <m:t xml:space="preserve">0*</m:t>
                      </m:r>
                      <m:r>
                        <m:t xml:space="preserve">(</m:t>
                      </m:r>
                      <m:r>
                        <m:t xml:space="preserve">2</m:t>
                      </m:r>
                      <m:r>
                        <m:rPr>
                          <m:lit/>
                          <m:nor/>
                        </m:rPr>
                        <m:t xml:space="preserve">.</m:t>
                      </m:r>
                      <m:r>
                        <m:rPr>
                          <m:lit/>
                          <m:nor/>
                        </m:rPr>
                        <m:t xml:space="preserve">089-2</m:t>
                      </m:r>
                      <m:r>
                        <m:t xml:space="preserve">)</m:t>
                      </m:r>
                      <m:r>
                        <m:t xml:space="preserve">+</m:t>
                      </m:r>
                      <m:r>
                        <m:t xml:space="preserve">0</m:t>
                      </m:r>
                      <m:r>
                        <m:rPr>
                          <m:lit/>
                          <m:nor/>
                        </m:rPr>
                        <m:t xml:space="preserve">.</m:t>
                      </m:r>
                      <m:r>
                        <m:rPr>
                          <m:lit/>
                          <m:nor/>
                        </m:rPr>
                        <m:t xml:space="preserve">999*</m:t>
                      </m:r>
                      <m:d>
                        <m:dPr>
                          <m:begChr m:val="["/>
                          <m:endChr m:val="]"/>
                        </m:dPr>
                        <m:e>
                          <m:r>
                            <m:t xml:space="preserve">0</m:t>
                          </m:r>
                          <m:r>
                            <m:rPr>
                              <m:lit/>
                              <m:nor/>
                            </m:rPr>
                            <m:t xml:space="preserve">.</m:t>
                          </m:r>
                          <m:r>
                            <m:rPr>
                              <m:lit/>
                              <m:nor/>
                            </m:rPr>
                            <m:t xml:space="preserve">501*1</m:t>
                          </m:r>
                          <m:r>
                            <m:rPr>
                              <m:lit/>
                              <m:nor/>
                            </m:rPr>
                            <m:t xml:space="preserve">.</m:t>
                          </m:r>
                          <m:r>
                            <m:rPr>
                              <m:lit/>
                              <m:nor/>
                            </m:rPr>
                            <m:t xml:space="preserve">809+0</m:t>
                          </m:r>
                          <m:r>
                            <m:rPr>
                              <m:lit/>
                              <m:nor/>
                            </m:rPr>
                            <m:t xml:space="preserve">.</m:t>
                          </m:r>
                          <m:r>
                            <m:rPr>
                              <m:lit/>
                              <m:nor/>
                            </m:rPr>
                            <m:t xml:space="preserve">499*0</m:t>
                          </m:r>
                          <m:r>
                            <m:rPr>
                              <m:lit/>
                              <m:nor/>
                            </m:rPr>
                            <m:t xml:space="preserve">.</m:t>
                          </m:r>
                          <m:r>
                            <m:rPr>
                              <m:lit/>
                              <m:nor/>
                            </m:rPr>
                            <m:t xml:space="preserve">000</m:t>
                          </m:r>
                        </m:e>
                      </m:d>
                    </m:e>
                  </m:mr>
                  <m:mr>
                    <m:e>
                      <m:r>
                        <m:rPr>
                          <m:lit/>
                          <m:nor/>
                        </m:rPr>
                        <m:t xml:space="preserve">10*</m:t>
                      </m:r>
                      <m:r>
                        <m:t xml:space="preserve">(</m:t>
                      </m:r>
                      <m:r>
                        <m:t xml:space="preserve">2</m:t>
                      </m:r>
                      <m:r>
                        <m:rPr>
                          <m:lit/>
                          <m:nor/>
                        </m:rPr>
                        <m:t xml:space="preserve">.</m:t>
                      </m:r>
                      <m:r>
                        <m:rPr>
                          <m:lit/>
                          <m:nor/>
                        </m:rPr>
                        <m:t xml:space="preserve">089-2</m:t>
                      </m:r>
                      <m:r>
                        <m:t xml:space="preserve">)</m:t>
                      </m:r>
                      <m:r>
                        <m:rPr>
                          <m:lit/>
                          <m:nor/>
                        </m:rPr>
                        <m:t xml:space="preserve">+0</m:t>
                      </m:r>
                      <m:r>
                        <m:rPr>
                          <m:lit/>
                          <m:nor/>
                        </m:rPr>
                        <m:t xml:space="preserve">.</m:t>
                      </m:r>
                      <m:r>
                        <m:rPr>
                          <m:lit/>
                          <m:nor/>
                        </m:rPr>
                        <m:t xml:space="preserve">999*</m:t>
                      </m:r>
                      <m:d>
                        <m:dPr>
                          <m:begChr m:val="["/>
                          <m:endChr m:val="]"/>
                        </m:dPr>
                        <m:e>
                          <m:r>
                            <m:t xml:space="preserve">0</m:t>
                          </m:r>
                          <m:r>
                            <m:rPr>
                              <m:lit/>
                              <m:nor/>
                            </m:rPr>
                            <m:t xml:space="preserve">.</m:t>
                          </m:r>
                          <m:r>
                            <m:rPr>
                              <m:lit/>
                              <m:nor/>
                            </m:rPr>
                            <m:t xml:space="preserve">501*0</m:t>
                          </m:r>
                          <m:r>
                            <m:rPr>
                              <m:lit/>
                              <m:nor/>
                            </m:rPr>
                            <m:t xml:space="preserve">.</m:t>
                          </m:r>
                          <m:r>
                            <m:rPr>
                              <m:lit/>
                              <m:nor/>
                            </m:rPr>
                            <m:t xml:space="preserve">00+0</m:t>
                          </m:r>
                          <m:r>
                            <m:rPr>
                              <m:lit/>
                              <m:nor/>
                            </m:rPr>
                            <m:t xml:space="preserve">.</m:t>
                          </m:r>
                          <m:r>
                            <m:rPr>
                              <m:lit/>
                              <m:nor/>
                            </m:rPr>
                            <m:t xml:space="preserve">499*0</m:t>
                          </m:r>
                          <m:r>
                            <m:rPr>
                              <m:lit/>
                              <m:nor/>
                            </m:rPr>
                            <m:t xml:space="preserve">.</m:t>
                          </m:r>
                          <m:r>
                            <m:rPr>
                              <m:lit/>
                              <m:nor/>
                            </m:rPr>
                            <m:t xml:space="preserve">00</m:t>
                          </m:r>
                        </m:e>
                      </m:d>
                    </m:e>
                  </m:mr>
                </m:m>
              </m:e>
            </m:d>
          </m:e>
          <m:e>
            <m:r>
              <m:rPr>
                <m:lit/>
                <m:nor/>
              </m:rPr>
              <m:t xml:space="preserve">max</m:t>
            </m:r>
            <m:d>
              <m:dPr>
                <m:begChr m:val="{"/>
                <m:endChr m:val="}"/>
              </m:dPr>
              <m:e>
                <m:r>
                  <m:t xml:space="preserve">0</m:t>
                </m:r>
                <m:r>
                  <m:rPr>
                    <m:lit/>
                    <m:nor/>
                  </m:rPr>
                  <m:t xml:space="preserve">.</m:t>
                </m:r>
                <m:r>
                  <m:rPr>
                    <m:lit/>
                    <m:nor/>
                  </m:rPr>
                  <m:t xml:space="preserve">906</m:t>
                </m:r>
                <m:r>
                  <m:t xml:space="preserve">,</m:t>
                </m:r>
                <m:r>
                  <m:t xml:space="preserve">0</m:t>
                </m:r>
                <m:r>
                  <m:rPr>
                    <m:lit/>
                    <m:nor/>
                  </m:rPr>
                  <m:t xml:space="preserve">.</m:t>
                </m:r>
                <m:r>
                  <m:rPr>
                    <m:lit/>
                    <m:nor/>
                  </m:rPr>
                  <m:t xml:space="preserve">89</m:t>
                </m:r>
              </m:e>
            </m:d>
          </m:e>
          <m:e>
            <m:r>
              <m:t xml:space="preserve">0</m:t>
            </m:r>
            <m:r>
              <m:rPr>
                <m:lit/>
                <m:nor/>
              </m:rPr>
              <m:t xml:space="preserve">.</m:t>
            </m:r>
            <m:r>
              <m:rPr>
                <m:lit/>
                <m:nor/>
              </m:rPr>
              <m:t xml:space="preserve">906</m:t>
            </m:r>
            <m:r>
              <m:rPr>
                <m:lit/>
                <m:nor/>
              </m:rPr>
              <m:t xml:space="preserve">.</m:t>
            </m:r>
          </m:e>
        </m:eqArr>
      </m:oMath>
      <w:r>
        <w:br w:type="page"/>
      </w:r>
    </w:p>
    <w:p>
      <w:pPr>
        <w:pStyle w:val="Footer"/>
        <w:tabs>
          <w:tab w:val="clear" w:pos="4320"/>
          <w:tab w:val="clear" w:pos="8640"/>
          <w:tab w:val="left" w:pos="720" w:leader="none"/>
          <w:tab w:val="left" w:pos="2880" w:leader="none"/>
        </w:tabs>
        <w:jc w:val="both"/>
        <w:rPr>
          <w:rFonts w:ascii="Times New Roman" w:hAnsi="Times New Roman" w:cs="Times New Roman"/>
          <w:sz w:val="24"/>
        </w:rPr>
      </w:pPr>
      <w:r>
        <w:rPr>
          <w:rFonts w:cs="Times New Roman"/>
          <w:sz w:val="24"/>
        </w:rPr>
      </w:r>
    </w:p>
    <w:tbl>
      <w:tblPr>
        <w:tblW w:w="6120" w:type="dxa"/>
        <w:jc w:val="start"/>
        <w:tblInd w:w="0" w:type="dxa"/>
        <w:tblLayout w:type="fixed"/>
        <w:tblCellMar>
          <w:top w:w="0" w:type="dxa"/>
          <w:start w:w="30" w:type="dxa"/>
          <w:bottom w:w="0" w:type="dxa"/>
          <w:end w:w="30" w:type="dxa"/>
        </w:tblCellMar>
      </w:tblPr>
      <w:tblGrid>
        <w:gridCol w:w="960"/>
        <w:gridCol w:w="960"/>
        <w:gridCol w:w="960"/>
        <w:gridCol w:w="1185"/>
        <w:gridCol w:w="960"/>
        <w:gridCol w:w="1095"/>
      </w:tblGrid>
      <w:tr>
        <w:trPr>
          <w:trHeight w:val="64" w:hRule="atLeast"/>
        </w:trPr>
        <w:tc>
          <w:tcPr>
            <w:tcW w:w="2880" w:type="dxa"/>
            <w:gridSpan w:val="3"/>
            <w:tcBorders/>
          </w:tcPr>
          <w:p>
            <w:pPr>
              <w:pStyle w:val="Normal"/>
              <w:jc w:val="both"/>
              <w:rPr>
                <w:b/>
                <w:color w:val="000000"/>
                <w:sz w:val="24"/>
              </w:rPr>
            </w:pPr>
            <w:r>
              <mc:AlternateContent>
                <mc:Choice Requires="wps">
                  <w:drawing>
                    <wp:anchor behindDoc="0" distT="0" distB="0" distL="114935" distR="114935" simplePos="0" locked="0" layoutInCell="0" allowOverlap="1" relativeHeight="183">
                      <wp:simplePos x="0" y="0"/>
                      <wp:positionH relativeFrom="margin">
                        <wp:posOffset>228600</wp:posOffset>
                      </wp:positionH>
                      <wp:positionV relativeFrom="paragraph">
                        <wp:posOffset>-39370</wp:posOffset>
                      </wp:positionV>
                      <wp:extent cx="3566160" cy="1645920"/>
                      <wp:effectExtent l="5080" t="5080" r="5715" b="5080"/>
                      <wp:wrapNone/>
                      <wp:docPr id="2" name=""/>
                      <a:graphic xmlns:a="http://schemas.openxmlformats.org/drawingml/2006/main">
                        <a:graphicData uri="http://schemas.microsoft.com/office/word/2010/wordprocessingShape">
                          <wps:wsp>
                            <wps:cNvSpPr/>
                            <wps:spPr>
                              <a:xfrm>
                                <a:off x="0" y="0"/>
                                <a:ext cx="3566160" cy="1645920"/>
                              </a:xfrm>
                              <a:custGeom>
                                <a:avLst/>
                                <a:gdLst/>
                                <a:ahLst/>
                                <a:rect l="l" t="t" r="r" b="b"/>
                                <a:pathLst>
                                  <a:path w="20000" h="20000">
                                    <a:moveTo>
                                      <a:pt x="10000" y="0"/>
                                    </a:moveTo>
                                    <a:lnTo>
                                      <a:pt x="0" y="20000"/>
                                    </a:lnTo>
                                    <a:lnTo>
                                      <a:pt x="20000" y="20000"/>
                                    </a:lnTo>
                                    <a:lnTo>
                                      <a:pt x="1000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10000,0l0,20000l20000,20000l10000,0xe" stroked="t" o:allowincell="f" style="position:absolute;margin-left:18pt;margin-top:-3.1pt;width:280.75pt;height:129.55pt;mso-wrap-style:none;v-text-anchor:middle;mso-position-horizontal-relative:margin">
                      <v:fill o:detectmouseclick="t" on="false"/>
                      <v:stroke color="black" weight="9360" joinstyle="round" endcap="flat"/>
                      <w10:wrap type="none"/>
                    </v:shape>
                  </w:pict>
                </mc:Fallback>
              </mc:AlternateContent>
            </w:r>
            <w:r>
              <w:rPr>
                <w:b/>
                <w:color w:val="000000"/>
                <w:sz w:val="24"/>
              </w:rPr>
              <w:t>Volume Level k = 0</w:t>
            </w:r>
          </w:p>
        </w:tc>
        <w:tc>
          <w:tcPr>
            <w:tcW w:w="0" w:type="dxa"/>
            <w:vMerge w:val="continue"/>
            <w:tcBorders/>
          </w:tcPr>
          <w:p>
            <w:pPr>
              <w:pStyle w:val="Normal"/>
              <w:snapToGrid w:val="false"/>
              <w:jc w:val="both"/>
              <w:rPr>
                <w:b/>
                <w:color w:val="000000"/>
                <w:sz w:val="24"/>
              </w:rPr>
            </w:pPr>
            <w:r>
              <w:rPr>
                <w:b/>
                <w:color w:val="000000"/>
                <w:sz w:val="24"/>
              </w:rPr>
            </w:r>
          </w:p>
        </w:tc>
        <w:tc>
          <w:tcPr>
            <w:tcW w:w="0" w:type="dxa"/>
            <w:vMerge w:val="continue"/>
            <w:tcBorders/>
          </w:tcPr>
          <w:p>
            <w:pPr>
              <w:pStyle w:val="Normal"/>
              <w:snapToGrid w:val="false"/>
              <w:jc w:val="both"/>
              <w:rPr>
                <w:b/>
                <w:color w:val="000000"/>
                <w:sz w:val="24"/>
              </w:rPr>
            </w:pPr>
            <w:r>
              <w:rPr>
                <w:b/>
                <w:color w:val="000000"/>
                <w:sz w:val="24"/>
              </w:rPr>
            </w:r>
          </w:p>
        </w:tc>
        <w:tc>
          <w:tcPr>
            <w:tcW w:w="1185"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3.782</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5.570</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86">
                      <wp:simplePos x="0" y="0"/>
                      <wp:positionH relativeFrom="margin">
                        <wp:posOffset>1263015</wp:posOffset>
                      </wp:positionH>
                      <wp:positionV relativeFrom="paragraph">
                        <wp:posOffset>112395</wp:posOffset>
                      </wp:positionV>
                      <wp:extent cx="457200" cy="182880"/>
                      <wp:effectExtent l="5080" t="5080" r="5715" b="5715"/>
                      <wp:wrapNone/>
                      <wp:docPr id="3" name=""/>
                      <a:graphic xmlns:a="http://schemas.openxmlformats.org/drawingml/2006/main">
                        <a:graphicData uri="http://schemas.microsoft.com/office/word/2010/wordprocessingShape">
                          <wps:wsp>
                            <wps:cNvSpPr/>
                            <wps:spPr>
                              <a:xfrm>
                                <a:off x="0" y="0"/>
                                <a:ext cx="457200" cy="1828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99.45pt;margin-top:8.85pt;width:35.95pt;height:14.35pt;mso-wrap-style:none;v-text-anchor:middle;mso-position-horizontal-relative:margin">
                      <v:fill o:detectmouseclick="t" on="false"/>
                      <v:stroke color="black" weight="9360" joinstyle="miter" endcap="flat"/>
                      <w10:wrap type="none"/>
                    </v:oval>
                  </w:pict>
                </mc:Fallback>
              </mc:AlternateContent>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jc w:val="both"/>
              <w:rPr>
                <w:color w:val="000000"/>
                <w:sz w:val="24"/>
              </w:rPr>
            </w:pPr>
            <w:r>
              <w:rPr>
                <w:color w:val="000000"/>
                <w:sz w:val="24"/>
              </w:rPr>
              <w:t>5.490</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1.809</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jc w:val="both"/>
              <w:rPr>
                <w:color w:val="000000"/>
                <w:sz w:val="24"/>
              </w:rPr>
            </w:pPr>
            <w:r>
              <w:rPr>
                <w:color w:val="000000"/>
                <w:sz w:val="24"/>
              </w:rPr>
              <w:t>3.196</w:t>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1.791</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82">
                      <wp:simplePos x="0" y="0"/>
                      <wp:positionH relativeFrom="margin">
                        <wp:posOffset>1562100</wp:posOffset>
                      </wp:positionH>
                      <wp:positionV relativeFrom="paragraph">
                        <wp:posOffset>1905</wp:posOffset>
                      </wp:positionV>
                      <wp:extent cx="567690" cy="1579245"/>
                      <wp:effectExtent l="5080" t="1905" r="5080" b="1905"/>
                      <wp:wrapNone/>
                      <wp:docPr id="4" name=""/>
                      <a:graphic xmlns:a="http://schemas.openxmlformats.org/drawingml/2006/main">
                        <a:graphicData uri="http://schemas.microsoft.com/office/word/2010/wordprocessingShape">
                          <wps:wsp>
                            <wps:cNvSpPr/>
                            <wps:spPr>
                              <a:xfrm>
                                <a:off x="0" y="0"/>
                                <a:ext cx="567720" cy="1579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pt,0.15pt" to="167.65pt,124.4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200">
                      <wp:simplePos x="0" y="0"/>
                      <wp:positionH relativeFrom="margin">
                        <wp:posOffset>1445895</wp:posOffset>
                      </wp:positionH>
                      <wp:positionV relativeFrom="paragraph">
                        <wp:posOffset>17145</wp:posOffset>
                      </wp:positionV>
                      <wp:extent cx="548640" cy="1884045"/>
                      <wp:effectExtent l="5080" t="1905" r="5080" b="1905"/>
                      <wp:wrapNone/>
                      <wp:docPr id="5" name=""/>
                      <a:graphic xmlns:a="http://schemas.openxmlformats.org/drawingml/2006/main">
                        <a:graphicData uri="http://schemas.microsoft.com/office/word/2010/wordprocessingShape">
                          <wps:wsp>
                            <wps:cNvSpPr/>
                            <wps:spPr>
                              <a:xfrm>
                                <a:off x="0" y="0"/>
                                <a:ext cx="548640" cy="1883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3.85pt,1.35pt" to="157pt,149.65pt" stroked="t" o:allowincell="f" style="position:absolute;mso-position-horizontal-relative:margin">
                      <v:stroke color="black" weight="9360" joinstyle="miter" endcap="flat"/>
                      <v:fill o:detectmouseclick="t" on="false"/>
                      <w10:wrap type="none"/>
                    </v:line>
                  </w:pict>
                </mc:Fallback>
              </mc:AlternateContent>
            </w:r>
          </w:p>
        </w:tc>
        <w:tc>
          <w:tcPr>
            <w:tcW w:w="960" w:type="dxa"/>
            <w:tcBorders/>
          </w:tcPr>
          <w:p>
            <w:pPr>
              <w:pStyle w:val="Normal"/>
              <w:jc w:val="both"/>
              <w:rPr>
                <w:color w:val="000000"/>
                <w:sz w:val="24"/>
              </w:rPr>
            </w:pPr>
            <w:r>
              <w:rPr>
                <w:color w:val="000000"/>
                <w:sz w:val="24"/>
              </w:rPr>
              <w:t>1.422</w:t>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jc w:val="both"/>
              <w:rPr>
                <w:color w:val="000000"/>
                <w:sz w:val="24"/>
              </w:rPr>
            </w:pPr>
            <w:r>
              <w:rPr>
                <w:color w:val="000000"/>
                <w:sz w:val="24"/>
              </w:rPr>
              <w:t>0.897</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0.000</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-0.357</w:t>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-0.827</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jc w:val="both"/>
              <w:rPr>
                <w:color w:val="000000"/>
                <w:sz w:val="24"/>
              </w:rPr>
            </w:pPr>
            <w:r>
              <w:rPr>
                <w:color w:val="000000"/>
                <w:sz w:val="24"/>
              </w:rPr>
              <w:t>-1.618</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-1.659</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-2.416</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-3.181</w:t>
            </w:r>
          </w:p>
        </w:tc>
      </w:tr>
    </w:tbl>
    <w:p>
      <w:pPr>
        <w:pStyle w:val="Footer"/>
        <w:tabs>
          <w:tab w:val="clear" w:pos="4320"/>
          <w:tab w:val="clear" w:pos="8640"/>
          <w:tab w:val="left" w:pos="720" w:leader="none"/>
          <w:tab w:val="left" w:pos="2880" w:leader="none"/>
        </w:tabs>
        <w:jc w:val="both"/>
        <w:rPr/>
      </w:pPr>
      <w:r>
        <w:rPr/>
      </w:r>
    </w:p>
    <w:p>
      <w:pPr>
        <w:pStyle w:val="Footer"/>
        <w:tabs>
          <w:tab w:val="clear" w:pos="4320"/>
          <w:tab w:val="clear" w:pos="8640"/>
          <w:tab w:val="left" w:pos="720" w:leader="none"/>
          <w:tab w:val="left" w:pos="2880" w:leader="none"/>
        </w:tabs>
        <w:jc w:val="both"/>
        <w:rPr/>
      </w:pPr>
      <w:r>
        <w:rPr/>
      </w:r>
    </w:p>
    <w:p>
      <w:pPr>
        <w:pStyle w:val="Footer"/>
        <w:tabs>
          <w:tab w:val="clear" w:pos="4320"/>
          <w:tab w:val="clear" w:pos="8640"/>
          <w:tab w:val="left" w:pos="720" w:leader="none"/>
          <w:tab w:val="left" w:pos="2880" w:leader="none"/>
        </w:tabs>
        <w:jc w:val="both"/>
        <w:rPr>
          <w:b/>
          <w:color w:val="000000"/>
          <w:lang w:val="en-CA"/>
        </w:rPr>
      </w:pPr>
      <w:r>
        <w:rPr>
          <w:b/>
          <w:color w:val="000000"/>
          <w:lang w:val="en-CA"/>
        </w:rPr>
        <mc:AlternateContent>
          <mc:Choice Requires="wps">
            <w:drawing>
              <wp:anchor behindDoc="0" distT="0" distB="0" distL="114935" distR="114935" simplePos="0" locked="0" layoutInCell="1" allowOverlap="1" relativeHeight="184">
                <wp:simplePos x="0" y="0"/>
                <wp:positionH relativeFrom="column">
                  <wp:posOffset>228600</wp:posOffset>
                </wp:positionH>
                <wp:positionV relativeFrom="paragraph">
                  <wp:posOffset>97790</wp:posOffset>
                </wp:positionV>
                <wp:extent cx="3566160" cy="1645920"/>
                <wp:effectExtent l="5080" t="5080" r="5715" b="5080"/>
                <wp:wrapNone/>
                <wp:docPr id="6" name=""/>
                <a:graphic xmlns:a="http://schemas.openxmlformats.org/drawingml/2006/main">
                  <a:graphicData uri="http://schemas.microsoft.com/office/word/2010/wordprocessingShape">
                    <wps:wsp>
                      <wps:cNvSpPr/>
                      <wps:spPr>
                        <a:xfrm>
                          <a:off x="0" y="0"/>
                          <a:ext cx="3566160" cy="1645920"/>
                        </a:xfrm>
                        <a:custGeom>
                          <a:avLst/>
                          <a:gdLst/>
                          <a:ahLst/>
                          <a:rect l="l" t="t" r="r" b="b"/>
                          <a:pathLst>
                            <a:path w="20000" h="20000">
                              <a:moveTo>
                                <a:pt x="10000" y="0"/>
                              </a:moveTo>
                              <a:lnTo>
                                <a:pt x="0" y="20000"/>
                              </a:lnTo>
                              <a:lnTo>
                                <a:pt x="20000" y="20000"/>
                              </a:lnTo>
                              <a:lnTo>
                                <a:pt x="1000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10000,0l0,20000l20000,20000l10000,0xe" stroked="t" o:allowincell="f" style="position:absolute;margin-left:18pt;margin-top:7.7pt;width:280.75pt;height:129.55pt;mso-wrap-style:none;v-text-anchor:middle">
                <v:fill o:detectmouseclick="t" on="false"/>
                <v:stroke color="black" weight="9360" joinstyle="round" endcap="flat"/>
                <w10:wrap type="none"/>
              </v:shape>
            </w:pict>
          </mc:Fallback>
        </mc:AlternateContent>
      </w:r>
    </w:p>
    <w:tbl>
      <w:tblPr>
        <w:tblW w:w="6120" w:type="dxa"/>
        <w:jc w:val="start"/>
        <w:tblInd w:w="0" w:type="dxa"/>
        <w:tblLayout w:type="fixed"/>
        <w:tblCellMar>
          <w:top w:w="0" w:type="dxa"/>
          <w:start w:w="30" w:type="dxa"/>
          <w:bottom w:w="0" w:type="dxa"/>
          <w:end w:w="30" w:type="dxa"/>
        </w:tblCellMar>
      </w:tblPr>
      <w:tblGrid>
        <w:gridCol w:w="960"/>
        <w:gridCol w:w="960"/>
        <w:gridCol w:w="960"/>
        <w:gridCol w:w="1185"/>
        <w:gridCol w:w="960"/>
        <w:gridCol w:w="1095"/>
      </w:tblGrid>
      <w:tr>
        <w:trPr>
          <w:trHeight w:val="64" w:hRule="atLeast"/>
        </w:trPr>
        <w:tc>
          <w:tcPr>
            <w:tcW w:w="2880" w:type="dxa"/>
            <w:gridSpan w:val="3"/>
            <w:tcBorders/>
          </w:tcPr>
          <w:p>
            <w:pPr>
              <w:pStyle w:val="Heading8"/>
              <w:ind w:hanging="0" w:start="0"/>
              <w:jc w:val="both"/>
              <w:rPr>
                <w:rFonts w:ascii="Times New Roman" w:hAnsi="Times New Roman" w:cs="Times New Roman"/>
                <w:sz w:val="24"/>
              </w:rPr>
            </w:pPr>
            <w:r>
              <w:rPr>
                <w:rFonts w:cs="Times New Roman" w:ascii="Times New Roman" w:hAnsi="Times New Roman"/>
                <w:sz w:val="24"/>
              </w:rPr>
              <w:t>Volume Level k = 1</w:t>
            </w:r>
          </w:p>
        </w:tc>
        <w:tc>
          <w:tcPr>
            <w:tcW w:w="0" w:type="dxa"/>
            <w:vMerge w:val="continue"/>
            <w:tcBorders/>
          </w:tcPr>
          <w:p>
            <w:pPr>
              <w:pStyle w:val="Normal"/>
              <w:snapToGrid w:val="false"/>
              <w:jc w:val="both"/>
              <w:rPr>
                <w:rFonts w:ascii="Times New Roman" w:hAnsi="Times New Roman" w:cs="Times New Roman"/>
                <w:b/>
                <w:color w:val="000000"/>
                <w:sz w:val="24"/>
              </w:rPr>
            </w:pPr>
            <w:r>
              <w:rPr>
                <w:rFonts w:cs="Times New Roman"/>
                <w:b/>
                <w:color w:val="000000"/>
                <w:sz w:val="24"/>
              </w:rPr>
            </w:r>
          </w:p>
        </w:tc>
        <w:tc>
          <w:tcPr>
            <w:tcW w:w="0" w:type="dxa"/>
            <w:vMerge w:val="continue"/>
            <w:tcBorders/>
          </w:tcPr>
          <w:p>
            <w:pPr>
              <w:pStyle w:val="Normal"/>
              <w:snapToGrid w:val="false"/>
              <w:jc w:val="both"/>
              <w:rPr>
                <w:b/>
                <w:color w:val="000000"/>
                <w:sz w:val="24"/>
              </w:rPr>
            </w:pPr>
            <w:r>
              <w:rPr>
                <w:b/>
                <w:color w:val="000000"/>
                <w:sz w:val="24"/>
              </w:rPr>
            </w:r>
          </w:p>
        </w:tc>
        <w:tc>
          <w:tcPr>
            <w:tcW w:w="1185"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87">
                      <wp:simplePos x="0" y="0"/>
                      <wp:positionH relativeFrom="margin">
                        <wp:posOffset>2615565</wp:posOffset>
                      </wp:positionH>
                      <wp:positionV relativeFrom="paragraph">
                        <wp:posOffset>95250</wp:posOffset>
                      </wp:positionV>
                      <wp:extent cx="457200" cy="207645"/>
                      <wp:effectExtent l="5080" t="5715" r="5715" b="5080"/>
                      <wp:wrapNone/>
                      <wp:docPr id="7" name=""/>
                      <a:graphic xmlns:a="http://schemas.openxmlformats.org/drawingml/2006/main">
                        <a:graphicData uri="http://schemas.microsoft.com/office/word/2010/wordprocessingShape">
                          <wps:wsp>
                            <wps:cNvSpPr/>
                            <wps:spPr>
                              <a:xfrm>
                                <a:off x="0" y="0"/>
                                <a:ext cx="457200" cy="20772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05.95pt;margin-top:7.5pt;width:35.95pt;height:16.3pt;mso-wrap-style:none;v-text-anchor:middle;mso-position-horizontal-relative:margin">
                      <v:fill o:detectmouseclick="t" on="false"/>
                      <v:stroke color="black" weight="9360" joinstyle="miter" endcap="flat"/>
                      <w10:wrap type="none"/>
                    </v:oval>
                  </w:pict>
                </mc:Fallback>
              </mc:AlternateContent>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3.782</w:t>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1" distT="0" distB="0" distL="114935" distR="114935" simplePos="0" locked="0" layoutInCell="0" allowOverlap="1" relativeHeight="180">
                      <wp:simplePos x="0" y="0"/>
                      <wp:positionH relativeFrom="margin">
                        <wp:posOffset>1965960</wp:posOffset>
                      </wp:positionH>
                      <wp:positionV relativeFrom="paragraph">
                        <wp:posOffset>100965</wp:posOffset>
                      </wp:positionV>
                      <wp:extent cx="457200" cy="182880"/>
                      <wp:effectExtent l="5080" t="5080" r="5715" b="5715"/>
                      <wp:wrapNone/>
                      <wp:docPr id="8" name=""/>
                      <a:graphic xmlns:a="http://schemas.openxmlformats.org/drawingml/2006/main">
                        <a:graphicData uri="http://schemas.microsoft.com/office/word/2010/wordprocessingShape">
                          <wps:wsp>
                            <wps:cNvSpPr/>
                            <wps:spPr>
                              <a:xfrm>
                                <a:off x="0" y="0"/>
                                <a:ext cx="457200" cy="182880"/>
                              </a:xfrm>
                              <a:prstGeom prst="ellipse">
                                <a:avLst/>
                              </a:prstGeom>
                              <a:solidFill>
                                <a:srgbClr val="99ccff"/>
                              </a:solidFill>
                              <a:ln w="9360">
                                <a:solidFill>
                                  <a:srgbClr val="000000"/>
                                </a:solidFill>
                                <a:miter/>
                              </a:ln>
                            </wps:spPr>
                            <wps:style>
                              <a:lnRef idx="0"/>
                              <a:fillRef idx="0"/>
                              <a:effectRef idx="0"/>
                              <a:fontRef idx="minor"/>
                            </wps:style>
                            <wps:bodyPr/>
                          </wps:wsp>
                        </a:graphicData>
                      </a:graphic>
                    </wp:anchor>
                  </w:drawing>
                </mc:Choice>
                <mc:Fallback>
                  <w:pict>
                    <v:oval id="shape_0" fillcolor="#99ccff" stroked="t" o:allowincell="f" style="position:absolute;margin-left:154.8pt;margin-top:7.95pt;width:35.95pt;height:14.35pt;mso-wrap-style:none;v-text-anchor:middle;mso-position-horizontal-relative:margin">
                      <v:fill o:detectmouseclick="t" type="solid" color2="#663300"/>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192">
                      <wp:simplePos x="0" y="0"/>
                      <wp:positionH relativeFrom="margin">
                        <wp:posOffset>2432685</wp:posOffset>
                      </wp:positionH>
                      <wp:positionV relativeFrom="paragraph">
                        <wp:posOffset>78105</wp:posOffset>
                      </wp:positionV>
                      <wp:extent cx="182880" cy="99060"/>
                      <wp:effectExtent l="2540" t="4445" r="2540" b="4445"/>
                      <wp:wrapNone/>
                      <wp:docPr id="9" name=""/>
                      <a:graphic xmlns:a="http://schemas.openxmlformats.org/drawingml/2006/main">
                        <a:graphicData uri="http://schemas.microsoft.com/office/word/2010/wordprocessingShape">
                          <wps:wsp>
                            <wps:cNvSpPr/>
                            <wps:spPr>
                              <a:xfrm flipH="1">
                                <a:off x="0" y="0"/>
                                <a:ext cx="182880" cy="9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1.55pt,6.15pt" to="205.9pt,13.9pt" stroked="t" o:allowincell="f" style="position:absolute;flip:x;mso-position-horizontal-relative:margin">
                      <v:stroke color="black" weight="9360" joinstyle="miter" endcap="flat"/>
                      <v:fill o:detectmouseclick="t" on="false"/>
                      <w10:wrap type="none"/>
                    </v:line>
                  </w:pict>
                </mc:Fallback>
              </mc:AlternateContent>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5.570</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88">
                      <wp:simplePos x="0" y="0"/>
                      <wp:positionH relativeFrom="margin">
                        <wp:posOffset>2625090</wp:posOffset>
                      </wp:positionH>
                      <wp:positionV relativeFrom="paragraph">
                        <wp:posOffset>102870</wp:posOffset>
                      </wp:positionV>
                      <wp:extent cx="457200" cy="193675"/>
                      <wp:effectExtent l="5080" t="5715" r="5715" b="5080"/>
                      <wp:wrapNone/>
                      <wp:docPr id="10" name=""/>
                      <a:graphic xmlns:a="http://schemas.openxmlformats.org/drawingml/2006/main">
                        <a:graphicData uri="http://schemas.microsoft.com/office/word/2010/wordprocessingShape">
                          <wps:wsp>
                            <wps:cNvSpPr/>
                            <wps:spPr>
                              <a:xfrm>
                                <a:off x="0" y="0"/>
                                <a:ext cx="457200" cy="1936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06.7pt;margin-top:8.1pt;width:35.95pt;height:15.2pt;mso-wrap-style:none;v-text-anchor:middle;mso-position-horizontal-relative:margin">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190">
                      <wp:simplePos x="0" y="0"/>
                      <wp:positionH relativeFrom="margin">
                        <wp:posOffset>2101215</wp:posOffset>
                      </wp:positionH>
                      <wp:positionV relativeFrom="paragraph">
                        <wp:posOffset>127635</wp:posOffset>
                      </wp:positionV>
                      <wp:extent cx="548640" cy="1884045"/>
                      <wp:effectExtent l="5080" t="1905" r="5080" b="1905"/>
                      <wp:wrapNone/>
                      <wp:docPr id="11" name=""/>
                      <a:graphic xmlns:a="http://schemas.openxmlformats.org/drawingml/2006/main">
                        <a:graphicData uri="http://schemas.microsoft.com/office/word/2010/wordprocessingShape">
                          <wps:wsp>
                            <wps:cNvSpPr/>
                            <wps:spPr>
                              <a:xfrm>
                                <a:off x="0" y="0"/>
                                <a:ext cx="548640" cy="1883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45pt,10.05pt" to="208.6pt,158.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93">
                      <wp:simplePos x="0" y="0"/>
                      <wp:positionH relativeFrom="margin">
                        <wp:posOffset>2432685</wp:posOffset>
                      </wp:positionH>
                      <wp:positionV relativeFrom="paragraph">
                        <wp:posOffset>56515</wp:posOffset>
                      </wp:positionV>
                      <wp:extent cx="182880" cy="126365"/>
                      <wp:effectExtent l="3175" t="4445" r="3175" b="4445"/>
                      <wp:wrapNone/>
                      <wp:docPr id="12" name=""/>
                      <a:graphic xmlns:a="http://schemas.openxmlformats.org/drawingml/2006/main">
                        <a:graphicData uri="http://schemas.microsoft.com/office/word/2010/wordprocessingShape">
                          <wps:wsp>
                            <wps:cNvSpPr/>
                            <wps:spPr>
                              <a:xfrm>
                                <a:off x="0" y="0"/>
                                <a:ext cx="182880" cy="126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1.55pt,4.45pt" to="205.9pt,14.35pt" stroked="t" o:allowincell="f" style="position:absolute;mso-position-horizontal-relative:margin">
                      <v:stroke color="black" weight="9360" joinstyle="miter" endcap="flat"/>
                      <v:fill o:detectmouseclick="t" on="false"/>
                      <w10:wrap type="none"/>
                    </v:line>
                  </w:pict>
                </mc:Fallback>
              </mc:AlternateContent>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jc w:val="both"/>
              <w:rPr>
                <w:b/>
                <w:sz w:val="24"/>
              </w:rPr>
            </w:pPr>
            <w:r>
              <w:rPr>
                <w:b/>
                <w:sz w:val="24"/>
              </w:rPr>
              <w:t>3.681</w:t>
            </w:r>
          </w:p>
        </w:tc>
        <w:tc>
          <w:tcPr>
            <w:tcW w:w="960" w:type="dxa"/>
            <w:tcBorders/>
          </w:tcPr>
          <w:p>
            <w:pPr>
              <w:pStyle w:val="Normal"/>
              <w:snapToGrid w:val="false"/>
              <w:jc w:val="both"/>
              <w:rPr>
                <w:b/>
                <w:color w:val="000000"/>
                <w:sz w:val="24"/>
              </w:rPr>
            </w:pPr>
            <w:r>
              <w:rPr>
                <w:b/>
                <w:color w:val="000000"/>
                <w:sz w:val="24"/>
              </w:rPr>
            </w:r>
          </w:p>
        </w:tc>
        <w:tc>
          <w:tcPr>
            <w:tcW w:w="1095" w:type="dxa"/>
            <w:tcBorders/>
          </w:tcPr>
          <w:p>
            <w:pPr>
              <w:pStyle w:val="Normal"/>
              <w:jc w:val="both"/>
              <w:rPr>
                <w:color w:val="000000"/>
                <w:sz w:val="24"/>
              </w:rPr>
            </w:pPr>
            <w:r>
              <w:rPr>
                <w:color w:val="000000"/>
                <w:sz w:val="24"/>
              </w:rPr>
              <w:t>1.809</w:t>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97">
                      <wp:simplePos x="0" y="0"/>
                      <wp:positionH relativeFrom="margin">
                        <wp:posOffset>2284095</wp:posOffset>
                      </wp:positionH>
                      <wp:positionV relativeFrom="paragraph">
                        <wp:posOffset>1905</wp:posOffset>
                      </wp:positionV>
                      <wp:extent cx="476250" cy="1525905"/>
                      <wp:effectExtent l="5080" t="1905" r="5080" b="1905"/>
                      <wp:wrapNone/>
                      <wp:docPr id="13" name=""/>
                      <a:graphic xmlns:a="http://schemas.openxmlformats.org/drawingml/2006/main">
                        <a:graphicData uri="http://schemas.microsoft.com/office/word/2010/wordprocessingShape">
                          <wps:wsp>
                            <wps:cNvSpPr/>
                            <wps:spPr>
                              <a:xfrm>
                                <a:off x="0" y="0"/>
                                <a:ext cx="476280" cy="1526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9.85pt,0.15pt" to="217.3pt,120.2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98">
                      <wp:simplePos x="0" y="0"/>
                      <wp:positionH relativeFrom="margin">
                        <wp:posOffset>1965960</wp:posOffset>
                      </wp:positionH>
                      <wp:positionV relativeFrom="paragraph">
                        <wp:posOffset>108585</wp:posOffset>
                      </wp:positionV>
                      <wp:extent cx="457200" cy="182880"/>
                      <wp:effectExtent l="5080" t="5080" r="5715" b="5715"/>
                      <wp:wrapNone/>
                      <wp:docPr id="14" name=""/>
                      <a:graphic xmlns:a="http://schemas.openxmlformats.org/drawingml/2006/main">
                        <a:graphicData uri="http://schemas.microsoft.com/office/word/2010/wordprocessingShape">
                          <wps:wsp>
                            <wps:cNvSpPr/>
                            <wps:spPr>
                              <a:xfrm>
                                <a:off x="0" y="0"/>
                                <a:ext cx="457200" cy="1828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154.8pt;margin-top:8.55pt;width:35.95pt;height:14.35pt;mso-wrap-style:none;v-text-anchor:middle;mso-position-horizontal-relative:margin">
                      <v:fill o:detectmouseclick="t" on="false"/>
                      <v:stroke color="black" weight="9360" joinstyle="miter" endcap="flat"/>
                      <w10:wrap type="none"/>
                    </v:oval>
                  </w:pict>
                </mc:Fallback>
              </mc:AlternateContent>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jc w:val="both"/>
              <w:rPr>
                <w:color w:val="000000"/>
                <w:sz w:val="24"/>
              </w:rPr>
            </w:pPr>
            <w:r>
              <w:rPr>
                <w:color w:val="000000"/>
                <w:sz w:val="24"/>
              </w:rPr>
              <w:t>2.290</w:t>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1.791</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1.370</w:t>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jc w:val="both"/>
              <w:rPr>
                <w:color w:val="000000"/>
                <w:sz w:val="24"/>
              </w:rPr>
            </w:pPr>
            <w:r>
              <w:rPr>
                <w:color w:val="000000"/>
                <w:sz w:val="24"/>
              </w:rPr>
              <w:t>0.897</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0.000</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0.449</w:t>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0.000</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jc w:val="both"/>
              <w:rPr>
                <w:color w:val="000000"/>
                <w:sz w:val="24"/>
              </w:rPr>
            </w:pPr>
            <w:r>
              <w:rPr>
                <w:color w:val="000000"/>
                <w:sz w:val="24"/>
              </w:rPr>
              <w:t>0.000</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0.000</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0.000</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0.000</w:t>
            </w:r>
          </w:p>
        </w:tc>
      </w:tr>
    </w:tbl>
    <w:p>
      <w:pPr>
        <w:pStyle w:val="Footer"/>
        <w:tabs>
          <w:tab w:val="clear" w:pos="4320"/>
          <w:tab w:val="clear" w:pos="8640"/>
          <w:tab w:val="left" w:pos="720" w:leader="none"/>
          <w:tab w:val="left" w:pos="2880" w:leader="none"/>
        </w:tabs>
        <w:jc w:val="both"/>
        <w:rPr>
          <w:b/>
          <w:color w:val="000000"/>
        </w:rPr>
      </w:pPr>
      <w:r>
        <w:rPr>
          <w:b/>
          <w:color w:val="000000"/>
        </w:rPr>
      </w:r>
    </w:p>
    <w:p>
      <w:pPr>
        <w:pStyle w:val="Footer"/>
        <w:tabs>
          <w:tab w:val="clear" w:pos="4320"/>
          <w:tab w:val="clear" w:pos="8640"/>
          <w:tab w:val="left" w:pos="720" w:leader="none"/>
          <w:tab w:val="left" w:pos="2880" w:leader="none"/>
        </w:tabs>
        <w:jc w:val="both"/>
        <w:rPr>
          <w:b/>
          <w:color w:val="000000"/>
        </w:rPr>
      </w:pPr>
      <w:r>
        <w:rPr>
          <w:b/>
          <w:color w:val="000000"/>
        </w:rPr>
      </w:r>
    </w:p>
    <w:p>
      <w:pPr>
        <w:pStyle w:val="Footer"/>
        <w:tabs>
          <w:tab w:val="clear" w:pos="4320"/>
          <w:tab w:val="clear" w:pos="8640"/>
          <w:tab w:val="left" w:pos="720" w:leader="none"/>
          <w:tab w:val="left" w:pos="2880" w:leader="none"/>
        </w:tabs>
        <w:jc w:val="both"/>
        <w:rPr>
          <w:lang w:val="en-CA"/>
        </w:rPr>
      </w:pPr>
      <w:r>
        <w:rPr>
          <w:lang w:val="en-CA"/>
        </w:rPr>
        <mc:AlternateContent>
          <mc:Choice Requires="wps">
            <w:drawing>
              <wp:anchor behindDoc="0" distT="0" distB="0" distL="114935" distR="114935" simplePos="0" locked="0" layoutInCell="1" allowOverlap="1" relativeHeight="185">
                <wp:simplePos x="0" y="0"/>
                <wp:positionH relativeFrom="column">
                  <wp:posOffset>320040</wp:posOffset>
                </wp:positionH>
                <wp:positionV relativeFrom="paragraph">
                  <wp:posOffset>108585</wp:posOffset>
                </wp:positionV>
                <wp:extent cx="3474720" cy="1645920"/>
                <wp:effectExtent l="5080" t="5080" r="5715" b="5080"/>
                <wp:wrapNone/>
                <wp:docPr id="15" name=""/>
                <a:graphic xmlns:a="http://schemas.openxmlformats.org/drawingml/2006/main">
                  <a:graphicData uri="http://schemas.microsoft.com/office/word/2010/wordprocessingShape">
                    <wps:wsp>
                      <wps:cNvSpPr/>
                      <wps:spPr>
                        <a:xfrm>
                          <a:off x="0" y="0"/>
                          <a:ext cx="3474720" cy="1645920"/>
                        </a:xfrm>
                        <a:custGeom>
                          <a:avLst/>
                          <a:gdLst/>
                          <a:ahLst/>
                          <a:rect l="l" t="t" r="r" b="b"/>
                          <a:pathLst>
                            <a:path w="20000" h="20000">
                              <a:moveTo>
                                <a:pt x="10000" y="0"/>
                              </a:moveTo>
                              <a:lnTo>
                                <a:pt x="0" y="20000"/>
                              </a:lnTo>
                              <a:lnTo>
                                <a:pt x="20000" y="20000"/>
                              </a:lnTo>
                              <a:lnTo>
                                <a:pt x="1000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10000,0l0,20000l20000,20000l10000,0xe" stroked="t" o:allowincell="f" style="position:absolute;margin-left:25.2pt;margin-top:8.55pt;width:273.55pt;height:129.55pt;mso-wrap-style:none;v-text-anchor:middle">
                <v:fill o:detectmouseclick="t" on="false"/>
                <v:stroke color="black" weight="9360" joinstyle="round" endcap="flat"/>
                <w10:wrap type="none"/>
              </v:shape>
            </w:pict>
          </mc:Fallback>
        </mc:AlternateContent>
      </w:r>
    </w:p>
    <w:tbl>
      <w:tblPr>
        <w:tblW w:w="6120" w:type="dxa"/>
        <w:jc w:val="start"/>
        <w:tblInd w:w="0" w:type="dxa"/>
        <w:tblLayout w:type="fixed"/>
        <w:tblCellMar>
          <w:top w:w="0" w:type="dxa"/>
          <w:start w:w="30" w:type="dxa"/>
          <w:bottom w:w="0" w:type="dxa"/>
          <w:end w:w="30" w:type="dxa"/>
        </w:tblCellMar>
      </w:tblPr>
      <w:tblGrid>
        <w:gridCol w:w="960"/>
        <w:gridCol w:w="960"/>
        <w:gridCol w:w="960"/>
        <w:gridCol w:w="1185"/>
        <w:gridCol w:w="960"/>
        <w:gridCol w:w="1095"/>
      </w:tblGrid>
      <w:tr>
        <w:trPr>
          <w:trHeight w:val="64" w:hRule="atLeast"/>
        </w:trPr>
        <w:tc>
          <w:tcPr>
            <w:tcW w:w="2880" w:type="dxa"/>
            <w:gridSpan w:val="3"/>
            <w:tcBorders/>
          </w:tcPr>
          <w:p>
            <w:pPr>
              <w:pStyle w:val="Heading9"/>
              <w:ind w:hanging="0" w:start="0"/>
              <w:jc w:val="both"/>
              <w:rPr>
                <w:rFonts w:ascii="Times New Roman" w:hAnsi="Times New Roman" w:cs="Times New Roman"/>
                <w:sz w:val="24"/>
              </w:rPr>
            </w:pPr>
            <w:r>
              <w:rPr>
                <w:rFonts w:cs="Times New Roman" w:ascii="Times New Roman" w:hAnsi="Times New Roman"/>
                <w:sz w:val="24"/>
              </w:rPr>
              <w:t>Volume Level k = 2</w:t>
            </w:r>
          </w:p>
        </w:tc>
        <w:tc>
          <w:tcPr>
            <w:tcW w:w="0" w:type="dxa"/>
            <w:vMerge w:val="continue"/>
            <w:tcBorders/>
          </w:tcPr>
          <w:p>
            <w:pPr>
              <w:pStyle w:val="Normal"/>
              <w:snapToGrid w:val="false"/>
              <w:jc w:val="both"/>
              <w:rPr>
                <w:rFonts w:ascii="Times New Roman" w:hAnsi="Times New Roman" w:cs="Times New Roman"/>
                <w:b/>
                <w:color w:val="000000"/>
                <w:sz w:val="24"/>
              </w:rPr>
            </w:pPr>
            <w:r>
              <w:rPr>
                <w:rFonts w:cs="Times New Roman"/>
                <w:b/>
                <w:color w:val="000000"/>
                <w:sz w:val="24"/>
              </w:rPr>
            </w:r>
          </w:p>
        </w:tc>
        <w:tc>
          <w:tcPr>
            <w:tcW w:w="0" w:type="dxa"/>
            <w:vMerge w:val="continue"/>
            <w:tcBorders/>
          </w:tcPr>
          <w:p>
            <w:pPr>
              <w:pStyle w:val="Normal"/>
              <w:snapToGrid w:val="false"/>
              <w:jc w:val="both"/>
              <w:rPr>
                <w:b/>
                <w:color w:val="000000"/>
                <w:sz w:val="24"/>
              </w:rPr>
            </w:pPr>
            <w:r>
              <w:rPr>
                <w:b/>
                <w:color w:val="000000"/>
                <w:sz w:val="24"/>
              </w:rPr>
            </w:r>
          </w:p>
        </w:tc>
        <w:tc>
          <w:tcPr>
            <w:tcW w:w="1185"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96">
                      <wp:simplePos x="0" y="0"/>
                      <wp:positionH relativeFrom="margin">
                        <wp:posOffset>2634615</wp:posOffset>
                      </wp:positionH>
                      <wp:positionV relativeFrom="paragraph">
                        <wp:posOffset>87630</wp:posOffset>
                      </wp:positionV>
                      <wp:extent cx="457200" cy="206375"/>
                      <wp:effectExtent l="5080" t="5715" r="5715" b="5080"/>
                      <wp:wrapNone/>
                      <wp:docPr id="16" name=""/>
                      <a:graphic xmlns:a="http://schemas.openxmlformats.org/drawingml/2006/main">
                        <a:graphicData uri="http://schemas.microsoft.com/office/word/2010/wordprocessingShape">
                          <wps:wsp>
                            <wps:cNvSpPr/>
                            <wps:spPr>
                              <a:xfrm>
                                <a:off x="0" y="0"/>
                                <a:ext cx="457200" cy="2062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07.45pt;margin-top:6.9pt;width:35.95pt;height:16.2pt;mso-wrap-style:none;v-text-anchor:middle;mso-position-horizontal-relative:margin">
                      <v:fill o:detectmouseclick="t" on="false"/>
                      <v:stroke color="black" weight="9360" joinstyle="miter" endcap="flat"/>
                      <w10:wrap type="none"/>
                    </v:oval>
                  </w:pict>
                </mc:Fallback>
              </mc:AlternateContent>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3.782</w:t>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201">
                      <wp:simplePos x="0" y="0"/>
                      <wp:positionH relativeFrom="margin">
                        <wp:posOffset>3274695</wp:posOffset>
                      </wp:positionH>
                      <wp:positionV relativeFrom="paragraph">
                        <wp:posOffset>89535</wp:posOffset>
                      </wp:positionV>
                      <wp:extent cx="457200" cy="207645"/>
                      <wp:effectExtent l="5080" t="5715" r="5715" b="5080"/>
                      <wp:wrapNone/>
                      <wp:docPr id="17" name=""/>
                      <a:graphic xmlns:a="http://schemas.openxmlformats.org/drawingml/2006/main">
                        <a:graphicData uri="http://schemas.microsoft.com/office/word/2010/wordprocessingShape">
                          <wps:wsp>
                            <wps:cNvSpPr/>
                            <wps:spPr>
                              <a:xfrm>
                                <a:off x="0" y="0"/>
                                <a:ext cx="457200" cy="20772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57.85pt;margin-top:7.05pt;width:35.95pt;height:16.3pt;mso-wrap-style:none;v-text-anchor:middle;mso-position-horizontal-relative:margin">
                      <v:fill o:detectmouseclick="t" on="false"/>
                      <v:stroke color="black" weight="9360" joinstyle="miter" endcap="flat"/>
                      <w10:wrap type="none"/>
                    </v:oval>
                  </w:pict>
                </mc:Fallback>
              </mc:AlternateContent>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2.795</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1" distT="0" distB="0" distL="114935" distR="114935" simplePos="0" locked="0" layoutInCell="0" allowOverlap="1" relativeHeight="181">
                      <wp:simplePos x="0" y="0"/>
                      <wp:positionH relativeFrom="margin">
                        <wp:posOffset>2634615</wp:posOffset>
                      </wp:positionH>
                      <wp:positionV relativeFrom="paragraph">
                        <wp:posOffset>76200</wp:posOffset>
                      </wp:positionV>
                      <wp:extent cx="457200" cy="220980"/>
                      <wp:effectExtent l="5080" t="5080" r="5715" b="5715"/>
                      <wp:wrapNone/>
                      <wp:docPr id="18" name=""/>
                      <a:graphic xmlns:a="http://schemas.openxmlformats.org/drawingml/2006/main">
                        <a:graphicData uri="http://schemas.microsoft.com/office/word/2010/wordprocessingShape">
                          <wps:wsp>
                            <wps:cNvSpPr/>
                            <wps:spPr>
                              <a:xfrm>
                                <a:off x="0" y="0"/>
                                <a:ext cx="457200" cy="221040"/>
                              </a:xfrm>
                              <a:prstGeom prst="ellipse">
                                <a:avLst/>
                              </a:prstGeom>
                              <a:solidFill>
                                <a:srgbClr val="ccffcc"/>
                              </a:solidFill>
                              <a:ln w="9360">
                                <a:solidFill>
                                  <a:srgbClr val="000000"/>
                                </a:solidFill>
                                <a:miter/>
                              </a:ln>
                            </wps:spPr>
                            <wps:style>
                              <a:lnRef idx="0"/>
                              <a:fillRef idx="0"/>
                              <a:effectRef idx="0"/>
                              <a:fontRef idx="minor"/>
                            </wps:style>
                            <wps:bodyPr/>
                          </wps:wsp>
                        </a:graphicData>
                      </a:graphic>
                    </wp:anchor>
                  </w:drawing>
                </mc:Choice>
                <mc:Fallback>
                  <w:pict>
                    <v:oval id="shape_0" fillcolor="#ccffcc" stroked="t" o:allowincell="f" style="position:absolute;margin-left:207.45pt;margin-top:6pt;width:35.95pt;height:17.35pt;mso-wrap-style:none;v-text-anchor:middle;mso-position-horizontal-relative:margin">
                      <v:fill o:detectmouseclick="t" type="solid" color2="#330033"/>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03">
                      <wp:simplePos x="0" y="0"/>
                      <wp:positionH relativeFrom="margin">
                        <wp:posOffset>3091815</wp:posOffset>
                      </wp:positionH>
                      <wp:positionV relativeFrom="paragraph">
                        <wp:posOffset>72390</wp:posOffset>
                      </wp:positionV>
                      <wp:extent cx="182880" cy="99060"/>
                      <wp:effectExtent l="2540" t="4445" r="2540" b="4445"/>
                      <wp:wrapNone/>
                      <wp:docPr id="19" name=""/>
                      <a:graphic xmlns:a="http://schemas.openxmlformats.org/drawingml/2006/main">
                        <a:graphicData uri="http://schemas.microsoft.com/office/word/2010/wordprocessingShape">
                          <wps:wsp>
                            <wps:cNvSpPr/>
                            <wps:spPr>
                              <a:xfrm flipH="1">
                                <a:off x="0" y="0"/>
                                <a:ext cx="182880" cy="9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45pt,5.7pt" to="257.8pt,13.45pt" stroked="t" o:allowincell="f" style="position:absolute;flip:x;mso-position-horizontal-relative:margin">
                      <v:stroke color="black" weight="9360" joinstyle="miter" endcap="flat"/>
                      <v:fill o:detectmouseclick="t" on="false"/>
                      <w10:wrap type="none"/>
                    </v:line>
                  </w:pict>
                </mc:Fallback>
              </mc:AlternateContent>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snapToGrid w:val="false"/>
              <w:jc w:val="both"/>
              <w:rPr>
                <w:b/>
                <w:color w:val="000000"/>
                <w:sz w:val="24"/>
              </w:rPr>
            </w:pPr>
            <w:r>
              <w:rPr>
                <w:b/>
                <w:color w:val="000000"/>
                <w:sz w:val="24"/>
              </w:rPr>
            </w:r>
          </w:p>
        </w:tc>
        <w:tc>
          <w:tcPr>
            <w:tcW w:w="1185" w:type="dxa"/>
            <w:tcBorders/>
          </w:tcPr>
          <w:p>
            <w:pPr>
              <w:pStyle w:val="Normal"/>
              <w:jc w:val="both"/>
              <w:rPr>
                <w:color w:val="000000"/>
                <w:sz w:val="24"/>
              </w:rPr>
            </w:pPr>
            <w:r>
              <w:rPr>
                <w:color w:val="000000"/>
                <w:sz w:val="24"/>
              </w:rPr>
              <w:t>1.851</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1.809</w:t>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91">
                      <wp:simplePos x="0" y="0"/>
                      <wp:positionH relativeFrom="margin">
                        <wp:posOffset>2971800</wp:posOffset>
                      </wp:positionH>
                      <wp:positionV relativeFrom="paragraph">
                        <wp:posOffset>131445</wp:posOffset>
                      </wp:positionV>
                      <wp:extent cx="649605" cy="1674495"/>
                      <wp:effectExtent l="4445" t="1905" r="4445" b="1905"/>
                      <wp:wrapNone/>
                      <wp:docPr id="20" name=""/>
                      <a:graphic xmlns:a="http://schemas.openxmlformats.org/drawingml/2006/main">
                        <a:graphicData uri="http://schemas.microsoft.com/office/word/2010/wordprocessingShape">
                          <wps:wsp>
                            <wps:cNvSpPr/>
                            <wps:spPr>
                              <a:xfrm>
                                <a:off x="0" y="0"/>
                                <a:ext cx="649440" cy="1674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10.35pt" to="285.1pt,142.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202">
                      <wp:simplePos x="0" y="0"/>
                      <wp:positionH relativeFrom="margin">
                        <wp:posOffset>3284220</wp:posOffset>
                      </wp:positionH>
                      <wp:positionV relativeFrom="paragraph">
                        <wp:posOffset>97155</wp:posOffset>
                      </wp:positionV>
                      <wp:extent cx="457200" cy="193675"/>
                      <wp:effectExtent l="5080" t="5715" r="5715" b="5080"/>
                      <wp:wrapNone/>
                      <wp:docPr id="21" name=""/>
                      <a:graphic xmlns:a="http://schemas.openxmlformats.org/drawingml/2006/main">
                        <a:graphicData uri="http://schemas.microsoft.com/office/word/2010/wordprocessingShape">
                          <wps:wsp>
                            <wps:cNvSpPr/>
                            <wps:spPr>
                              <a:xfrm>
                                <a:off x="0" y="0"/>
                                <a:ext cx="457200" cy="1936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58.6pt;margin-top:7.65pt;width:35.95pt;height:15.2pt;mso-wrap-style:none;v-text-anchor:middle;mso-position-horizontal-relative:margin">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0" allowOverlap="1" relativeHeight="204">
                      <wp:simplePos x="0" y="0"/>
                      <wp:positionH relativeFrom="margin">
                        <wp:posOffset>3091815</wp:posOffset>
                      </wp:positionH>
                      <wp:positionV relativeFrom="paragraph">
                        <wp:posOffset>31750</wp:posOffset>
                      </wp:positionV>
                      <wp:extent cx="182880" cy="126365"/>
                      <wp:effectExtent l="3175" t="4445" r="3175" b="4445"/>
                      <wp:wrapNone/>
                      <wp:docPr id="22" name=""/>
                      <a:graphic xmlns:a="http://schemas.openxmlformats.org/drawingml/2006/main">
                        <a:graphicData uri="http://schemas.microsoft.com/office/word/2010/wordprocessingShape">
                          <wps:wsp>
                            <wps:cNvSpPr/>
                            <wps:spPr>
                              <a:xfrm>
                                <a:off x="0" y="0"/>
                                <a:ext cx="182880" cy="126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45pt,2.5pt" to="257.8pt,12.4pt" stroked="t" o:allowincell="f" style="position:absolute;mso-position-horizontal-relative:margin">
                      <v:stroke color="black" weight="9360" joinstyle="miter" endcap="flat"/>
                      <v:fill o:detectmouseclick="t" on="false"/>
                      <w10:wrap type="none"/>
                    </v:line>
                  </w:pict>
                </mc:Fallback>
              </mc:AlternateContent>
            </w:r>
          </w:p>
        </w:tc>
        <w:tc>
          <w:tcPr>
            <w:tcW w:w="960" w:type="dxa"/>
            <w:tcBorders/>
          </w:tcPr>
          <w:p>
            <w:pPr>
              <w:pStyle w:val="Normal"/>
              <w:snapToGrid w:val="false"/>
              <w:jc w:val="both"/>
              <w:rPr>
                <w:b/>
                <w:color w:val="000000"/>
                <w:sz w:val="24"/>
              </w:rPr>
            </w:pPr>
            <w:r>
              <w:rPr>
                <w:b/>
                <w:color w:val="000000"/>
                <w:sz w:val="24"/>
              </w:rPr>
            </w:r>
          </w:p>
        </w:tc>
        <w:tc>
          <w:tcPr>
            <w:tcW w:w="960" w:type="dxa"/>
            <w:tcBorders/>
          </w:tcPr>
          <w:p>
            <w:pPr>
              <w:pStyle w:val="Normal"/>
              <w:jc w:val="both"/>
              <w:rPr>
                <w:color w:val="000000"/>
                <w:sz w:val="24"/>
              </w:rPr>
            </w:pPr>
            <w:r>
              <w:rPr>
                <w:color w:val="000000"/>
                <w:sz w:val="24"/>
              </w:rPr>
              <w:t>1.153</w:t>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b/>
                <w:color w:val="000000"/>
                <w:sz w:val="24"/>
              </w:rPr>
            </w:pPr>
            <w:r>
              <w:rPr>
                <w:b/>
                <w:color w:val="000000"/>
                <w:sz w:val="24"/>
              </w:rPr>
              <w:t>0.906</w:t>
            </w:r>
          </w:p>
        </w:tc>
        <w:tc>
          <w:tcPr>
            <w:tcW w:w="1095" w:type="dxa"/>
            <w:tcBorders/>
          </w:tcPr>
          <w:p>
            <w:pPr>
              <w:pStyle w:val="Normal"/>
              <w:snapToGrid w:val="false"/>
              <w:jc w:val="both"/>
              <w:rPr>
                <w:b/>
                <w:color w:val="000000"/>
                <w:sz w:val="24"/>
              </w:rPr>
            </w:pPr>
            <w:r>
              <w:rPr>
                <w:b/>
                <w:color w:val="000000"/>
                <w:sz w:val="24"/>
              </w:rPr>
            </w:r>
          </w:p>
        </w:tc>
      </w:tr>
      <w:tr>
        <w:trPr>
          <w:trHeight w:val="64" w:hRule="atLeast"/>
        </w:trPr>
        <w:tc>
          <w:tcPr>
            <w:tcW w:w="96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95">
                      <wp:simplePos x="0" y="0"/>
                      <wp:positionH relativeFrom="margin">
                        <wp:posOffset>2880360</wp:posOffset>
                      </wp:positionH>
                      <wp:positionV relativeFrom="paragraph">
                        <wp:posOffset>13335</wp:posOffset>
                      </wp:positionV>
                      <wp:extent cx="601980" cy="2015490"/>
                      <wp:effectExtent l="5080" t="1905" r="5080" b="1905"/>
                      <wp:wrapNone/>
                      <wp:docPr id="23" name=""/>
                      <a:graphic xmlns:a="http://schemas.openxmlformats.org/drawingml/2006/main">
                        <a:graphicData uri="http://schemas.microsoft.com/office/word/2010/wordprocessingShape">
                          <wps:wsp>
                            <wps:cNvSpPr/>
                            <wps:spPr>
                              <a:xfrm>
                                <a:off x="0" y="0"/>
                                <a:ext cx="601920" cy="2015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6.8pt,1.05pt" to="274.15pt,159.7pt" stroked="t" o:allowincell="f" style="position:absolute;mso-position-horizontal-relative:margin">
                      <v:stroke color="black" weight="9360" joinstyle="miter" endcap="flat"/>
                      <v:fill o:detectmouseclick="t" on="false"/>
                      <w10:wrap type="none"/>
                    </v:line>
                  </w:pict>
                </mc:Fallback>
              </mc:AlternateContent>
            </w:r>
          </w:p>
        </w:tc>
        <w:tc>
          <w:tcPr>
            <w:tcW w:w="960" w:type="dxa"/>
            <w:tcBorders/>
          </w:tcPr>
          <w:p>
            <w:pPr>
              <w:pStyle w:val="Normal"/>
              <w:jc w:val="both"/>
              <w:rPr>
                <w:color w:val="000000"/>
                <w:sz w:val="24"/>
              </w:rPr>
            </w:pPr>
            <w:r>
              <w:rPr>
                <w:color w:val="000000"/>
                <w:sz w:val="24"/>
              </w:rPr>
              <w:t>0.690</w:t>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jc w:val="both"/>
              <w:rPr>
                <w:color w:val="000000"/>
                <w:sz w:val="24"/>
              </w:rPr>
            </w:pPr>
            <w:r>
              <w:rPr>
                <w:color w:val="000000"/>
                <w:sz w:val="24"/>
              </w:rPr>
              <w:t>0.454</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0.000</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0.227</w:t>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0.000</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jc w:val="both"/>
              <w:rPr>
                <w:color w:val="000000"/>
                <w:sz w:val="24"/>
              </w:rPr>
            </w:pPr>
            <w:r>
              <w:rPr>
                <w:color w:val="000000"/>
                <w:sz w:val="24"/>
              </w:rPr>
              <w:t>0.000</w:t>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0.000</w:t>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jc w:val="both"/>
              <w:rPr>
                <w:color w:val="000000"/>
                <w:sz w:val="24"/>
              </w:rPr>
            </w:pPr>
            <w:r>
              <w:rPr>
                <w:color w:val="000000"/>
                <w:sz w:val="24"/>
              </w:rPr>
              <w:t>0.000</w:t>
            </w:r>
          </w:p>
        </w:tc>
        <w:tc>
          <w:tcPr>
            <w:tcW w:w="1095" w:type="dxa"/>
            <w:tcBorders/>
          </w:tcPr>
          <w:p>
            <w:pPr>
              <w:pStyle w:val="Normal"/>
              <w:snapToGrid w:val="false"/>
              <w:jc w:val="both"/>
              <w:rPr>
                <w:color w:val="000000"/>
                <w:sz w:val="24"/>
              </w:rPr>
            </w:pPr>
            <w:r>
              <w:rPr>
                <w:color w:val="000000"/>
                <w:sz w:val="24"/>
              </w:rPr>
            </w:r>
          </w:p>
        </w:tc>
      </w:tr>
      <w:tr>
        <w:trPr>
          <w:trHeight w:val="64" w:hRule="atLeast"/>
        </w:trPr>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185" w:type="dxa"/>
            <w:tcBorders/>
          </w:tcPr>
          <w:p>
            <w:pPr>
              <w:pStyle w:val="Normal"/>
              <w:snapToGrid w:val="false"/>
              <w:jc w:val="both"/>
              <w:rPr>
                <w:color w:val="000000"/>
                <w:sz w:val="24"/>
              </w:rPr>
            </w:pPr>
            <w:r>
              <w:rPr>
                <w:color w:val="000000"/>
                <w:sz w:val="24"/>
              </w:rPr>
            </w:r>
          </w:p>
        </w:tc>
        <w:tc>
          <w:tcPr>
            <w:tcW w:w="960" w:type="dxa"/>
            <w:tcBorders/>
          </w:tcPr>
          <w:p>
            <w:pPr>
              <w:pStyle w:val="Normal"/>
              <w:snapToGrid w:val="false"/>
              <w:jc w:val="both"/>
              <w:rPr>
                <w:color w:val="000000"/>
                <w:sz w:val="24"/>
              </w:rPr>
            </w:pPr>
            <w:r>
              <w:rPr>
                <w:color w:val="000000"/>
                <w:sz w:val="24"/>
              </w:rPr>
            </w:r>
          </w:p>
        </w:tc>
        <w:tc>
          <w:tcPr>
            <w:tcW w:w="1095" w:type="dxa"/>
            <w:tcBorders/>
          </w:tcPr>
          <w:p>
            <w:pPr>
              <w:pStyle w:val="Normal"/>
              <w:jc w:val="both"/>
              <w:rPr>
                <w:color w:val="000000"/>
                <w:sz w:val="24"/>
              </w:rPr>
            </w:pPr>
            <w:r>
              <w:rPr>
                <w:color w:val="000000"/>
                <w:sz w:val="24"/>
              </w:rPr>
              <w:t>0.000</w:t>
            </w:r>
          </w:p>
        </w:tc>
      </w:tr>
    </w:tbl>
    <w:p>
      <w:pPr>
        <w:pStyle w:val="Footer"/>
        <w:tabs>
          <w:tab w:val="clear" w:pos="4320"/>
          <w:tab w:val="clear" w:pos="8640"/>
          <w:tab w:val="left" w:pos="720" w:leader="none"/>
          <w:tab w:val="left" w:pos="2880" w:leader="none"/>
        </w:tabs>
        <w:jc w:val="both"/>
        <w:rPr/>
      </w:pPr>
      <w:r>
        <w:rPr/>
      </w:r>
    </w:p>
    <w:p>
      <w:pPr>
        <w:pStyle w:val="Footer"/>
        <w:tabs>
          <w:tab w:val="clear" w:pos="4320"/>
          <w:tab w:val="clear" w:pos="8640"/>
          <w:tab w:val="left" w:pos="720" w:leader="none"/>
          <w:tab w:val="left" w:pos="2880" w:leader="none"/>
        </w:tabs>
        <w:jc w:val="both"/>
        <w:rPr/>
      </w:pPr>
      <w:r>
        <w:rPr/>
      </w:r>
    </w:p>
    <w:p>
      <w:pPr>
        <w:pStyle w:val="Footer"/>
        <w:tabs>
          <w:tab w:val="clear" w:pos="4320"/>
          <w:tab w:val="clear" w:pos="8640"/>
          <w:tab w:val="left" w:pos="720" w:leader="none"/>
          <w:tab w:val="left" w:pos="2880" w:leader="none"/>
        </w:tabs>
        <w:jc w:val="both"/>
        <w:rPr/>
      </w:pPr>
      <w:r>
        <w:rPr/>
      </w:r>
    </w:p>
    <w:tbl>
      <w:tblPr>
        <w:tblW w:w="6439" w:type="dxa"/>
        <w:jc w:val="start"/>
        <w:tblInd w:w="0" w:type="dxa"/>
        <w:tblLayout w:type="fixed"/>
        <w:tblCellMar>
          <w:top w:w="0" w:type="dxa"/>
          <w:start w:w="30" w:type="dxa"/>
          <w:bottom w:w="0" w:type="dxa"/>
          <w:end w:w="30" w:type="dxa"/>
        </w:tblCellMar>
      </w:tblPr>
      <w:tblGrid>
        <w:gridCol w:w="1010"/>
        <w:gridCol w:w="1011"/>
        <w:gridCol w:w="1010"/>
        <w:gridCol w:w="1246"/>
        <w:gridCol w:w="1010"/>
        <w:gridCol w:w="1152"/>
      </w:tblGrid>
      <w:tr>
        <w:trPr>
          <w:trHeight w:val="245" w:hRule="atLeast"/>
        </w:trPr>
        <w:tc>
          <w:tcPr>
            <w:tcW w:w="3031" w:type="dxa"/>
            <w:gridSpan w:val="3"/>
            <w:tcBorders/>
          </w:tcPr>
          <w:p>
            <w:pPr>
              <w:pStyle w:val="Heading5"/>
              <w:ind w:hanging="0" w:start="0"/>
              <w:jc w:val="both"/>
              <w:rPr>
                <w:rFonts w:ascii="Times New Roman" w:hAnsi="Times New Roman" w:cs="Times New Roman"/>
                <w:sz w:val="24"/>
              </w:rPr>
            </w:pPr>
            <w:r>
              <w:rPr>
                <w:rFonts w:cs="Times New Roman" w:ascii="Times New Roman" w:hAnsi="Times New Roman"/>
                <w:sz w:val="24"/>
              </w:rPr>
              <w:t>Volume Level k = 3</w:t>
            </w:r>
          </w:p>
        </w:tc>
        <w:tc>
          <w:tcPr>
            <w:tcW w:w="0" w:type="dxa"/>
            <w:vMerge w:val="continue"/>
            <w:tcBorders/>
          </w:tcPr>
          <w:p>
            <w:pPr>
              <w:pStyle w:val="Normal"/>
              <w:snapToGrid w:val="false"/>
              <w:jc w:val="both"/>
              <w:rPr>
                <w:rFonts w:ascii="Times New Roman" w:hAnsi="Times New Roman" w:cs="Times New Roman"/>
                <w:b/>
                <w:color w:val="000000"/>
                <w:sz w:val="24"/>
              </w:rPr>
            </w:pPr>
            <w:r>
              <w:rPr>
                <w:rFonts w:cs="Times New Roman"/>
                <w:b/>
                <w:color w:val="000000"/>
                <w:sz w:val="24"/>
              </w:rPr>
            </w:r>
          </w:p>
        </w:tc>
        <w:tc>
          <w:tcPr>
            <w:tcW w:w="0" w:type="dxa"/>
            <w:vMerge w:val="continue"/>
            <w:tcBorders/>
          </w:tcPr>
          <w:p>
            <w:pPr>
              <w:pStyle w:val="Normal"/>
              <w:snapToGrid w:val="false"/>
              <w:jc w:val="both"/>
              <w:rPr>
                <w:b/>
                <w:color w:val="000000"/>
                <w:sz w:val="24"/>
              </w:rPr>
            </w:pPr>
            <w:r>
              <w:rPr>
                <w:b/>
                <w:color w:val="000000"/>
                <w:sz w:val="24"/>
              </w:rPr>
            </w:r>
          </w:p>
        </w:tc>
        <w:tc>
          <w:tcPr>
            <w:tcW w:w="1246" w:type="dxa"/>
            <w:tcBorders/>
          </w:tcPr>
          <w:p>
            <w:pPr>
              <w:pStyle w:val="Normal"/>
              <w:snapToGrid w:val="false"/>
              <w:jc w:val="both"/>
              <w:rPr>
                <w:b/>
                <w:color w:val="000000"/>
                <w:sz w:val="24"/>
              </w:rPr>
            </w:pPr>
            <w:r>
              <w:rPr>
                <w:b/>
                <w:color w:val="000000"/>
                <w:sz w:val="24"/>
              </w:rPr>
            </w:r>
          </w:p>
        </w:tc>
        <w:tc>
          <w:tcPr>
            <w:tcW w:w="1010" w:type="dxa"/>
            <w:tcBorders/>
          </w:tcPr>
          <w:p>
            <w:pPr>
              <w:pStyle w:val="Normal"/>
              <w:snapToGrid w:val="false"/>
              <w:jc w:val="both"/>
              <w:rPr>
                <w:b/>
                <w:color w:val="000000"/>
                <w:sz w:val="24"/>
              </w:rPr>
            </w:pPr>
            <w:r>
              <w:rPr>
                <w:b/>
                <w:color w:val="000000"/>
                <w:sz w:val="24"/>
              </w:rPr>
            </w:r>
          </w:p>
        </w:tc>
        <w:tc>
          <w:tcPr>
            <w:tcW w:w="1152" w:type="dxa"/>
            <w:tcBorders/>
          </w:tcPr>
          <w:p>
            <w:pPr>
              <w:pStyle w:val="Normal"/>
              <w:snapToGrid w:val="false"/>
              <w:jc w:val="both"/>
              <w:rPr>
                <w:color w:val="000000"/>
                <w:sz w:val="24"/>
              </w:rPr>
            </w:pPr>
            <w:r>
              <w:rPr>
                <w:color w:val="000000"/>
                <w:sz w:val="24"/>
              </w:rPr>
            </w:r>
          </w:p>
        </w:tc>
      </w:tr>
      <w:tr>
        <w:trPr>
          <w:trHeight w:val="245" w:hRule="atLeast"/>
        </w:trPr>
        <w:tc>
          <w:tcPr>
            <w:tcW w:w="1010" w:type="dxa"/>
            <w:tcBorders/>
          </w:tcPr>
          <w:p>
            <w:pPr>
              <w:pStyle w:val="Normal"/>
              <w:snapToGrid w:val="false"/>
              <w:jc w:val="both"/>
              <w:rPr>
                <w:color w:val="000000"/>
                <w:sz w:val="24"/>
              </w:rPr>
            </w:pPr>
            <w:r>
              <w:rPr>
                <w:color w:val="000000"/>
                <w:sz w:val="24"/>
              </w:rPr>
            </w:r>
          </w:p>
        </w:tc>
        <w:tc>
          <w:tcPr>
            <w:tcW w:w="1011" w:type="dxa"/>
            <w:tcBorders/>
          </w:tcPr>
          <w:p>
            <w:pPr>
              <w:pStyle w:val="Normal"/>
              <w:snapToGrid w:val="false"/>
              <w:jc w:val="both"/>
              <w:rPr>
                <w:color w:val="000000"/>
                <w:sz w:val="24"/>
              </w:rPr>
            </w:pPr>
            <w:r>
              <w:rPr>
                <w:color w:val="000000"/>
                <w:sz w:val="24"/>
              </w:rPr>
            </w:r>
          </w:p>
        </w:tc>
        <w:tc>
          <w:tcPr>
            <w:tcW w:w="1010" w:type="dxa"/>
            <w:tcBorders/>
          </w:tcPr>
          <w:p>
            <w:pPr>
              <w:pStyle w:val="Normal"/>
              <w:snapToGrid w:val="false"/>
              <w:jc w:val="both"/>
              <w:rPr>
                <w:color w:val="000000"/>
                <w:sz w:val="24"/>
              </w:rPr>
            </w:pPr>
            <w:r>
              <w:rPr>
                <w:color w:val="000000"/>
                <w:sz w:val="24"/>
              </w:rPr>
            </w:r>
          </w:p>
        </w:tc>
        <w:tc>
          <w:tcPr>
            <w:tcW w:w="1246" w:type="dxa"/>
            <w:tcBorders/>
          </w:tcPr>
          <w:p>
            <w:pPr>
              <w:pStyle w:val="Normal"/>
              <w:snapToGrid w:val="false"/>
              <w:jc w:val="both"/>
              <w:rPr>
                <w:color w:val="000000"/>
                <w:sz w:val="24"/>
              </w:rPr>
            </w:pPr>
            <w:r>
              <w:rPr>
                <w:color w:val="000000"/>
                <w:sz w:val="24"/>
              </w:rPr>
            </w:r>
          </w:p>
        </w:tc>
        <w:tc>
          <w:tcPr>
            <w:tcW w:w="1010" w:type="dxa"/>
            <w:tcBorders/>
          </w:tcPr>
          <w:p>
            <w:pPr>
              <w:pStyle w:val="Normal"/>
              <w:snapToGrid w:val="false"/>
              <w:jc w:val="both"/>
              <w:rPr>
                <w:color w:val="000000"/>
                <w:sz w:val="24"/>
              </w:rPr>
            </w:pPr>
            <w:r>
              <w:rPr>
                <w:color w:val="000000"/>
                <w:sz w:val="24"/>
              </w:rPr>
            </w:r>
          </w:p>
        </w:tc>
        <w:tc>
          <w:tcPr>
            <w:tcW w:w="1152" w:type="dxa"/>
            <w:tcBorders/>
          </w:tcPr>
          <w:p>
            <w:pPr>
              <w:pStyle w:val="Normal"/>
              <w:jc w:val="both"/>
              <w:rPr>
                <w:color w:val="000000"/>
                <w:sz w:val="24"/>
              </w:rPr>
            </w:pPr>
            <w:r>
              <w:rPr>
                <w:color w:val="000000"/>
                <w:sz w:val="24"/>
              </w:rPr>
              <w:t>0.00</w:t>
            </w:r>
          </w:p>
        </w:tc>
      </w:tr>
      <w:tr>
        <w:trPr>
          <w:trHeight w:val="245" w:hRule="atLeast"/>
        </w:trPr>
        <w:tc>
          <w:tcPr>
            <w:tcW w:w="101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89">
                      <wp:simplePos x="0" y="0"/>
                      <wp:positionH relativeFrom="margin">
                        <wp:posOffset>3457575</wp:posOffset>
                      </wp:positionH>
                      <wp:positionV relativeFrom="paragraph">
                        <wp:posOffset>120015</wp:posOffset>
                      </wp:positionV>
                      <wp:extent cx="457200" cy="182880"/>
                      <wp:effectExtent l="5080" t="5080" r="5715" b="5715"/>
                      <wp:wrapNone/>
                      <wp:docPr id="24" name=""/>
                      <a:graphic xmlns:a="http://schemas.openxmlformats.org/drawingml/2006/main">
                        <a:graphicData uri="http://schemas.microsoft.com/office/word/2010/wordprocessingShape">
                          <wps:wsp>
                            <wps:cNvSpPr/>
                            <wps:spPr>
                              <a:xfrm>
                                <a:off x="0" y="0"/>
                                <a:ext cx="457200" cy="1828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72.25pt;margin-top:9.45pt;width:35.95pt;height:14.35pt;mso-wrap-style:none;v-text-anchor:middle;mso-position-horizontal-relative:margin">
                      <v:fill o:detectmouseclick="t" on="false"/>
                      <v:stroke color="black" weight="9360" joinstyle="miter" endcap="flat"/>
                      <w10:wrap type="none"/>
                    </v:oval>
                  </w:pict>
                </mc:Fallback>
              </mc:AlternateContent>
            </w:r>
          </w:p>
        </w:tc>
        <w:tc>
          <w:tcPr>
            <w:tcW w:w="1011" w:type="dxa"/>
            <w:tcBorders/>
          </w:tcPr>
          <w:p>
            <w:pPr>
              <w:pStyle w:val="Normal"/>
              <w:snapToGrid w:val="false"/>
              <w:jc w:val="both"/>
              <w:rPr>
                <w:b/>
                <w:color w:val="000000"/>
                <w:sz w:val="24"/>
              </w:rPr>
            </w:pPr>
            <w:r>
              <w:rPr>
                <w:b/>
                <w:color w:val="000000"/>
                <w:sz w:val="24"/>
              </w:rPr>
            </w:r>
          </w:p>
        </w:tc>
        <w:tc>
          <w:tcPr>
            <w:tcW w:w="1010" w:type="dxa"/>
            <w:tcBorders/>
          </w:tcPr>
          <w:p>
            <w:pPr>
              <w:pStyle w:val="Normal"/>
              <w:snapToGrid w:val="false"/>
              <w:jc w:val="both"/>
              <w:rPr>
                <w:b/>
                <w:color w:val="000000"/>
                <w:sz w:val="24"/>
              </w:rPr>
            </w:pPr>
            <w:r>
              <w:rPr>
                <w:b/>
                <w:color w:val="000000"/>
                <w:sz w:val="24"/>
              </w:rPr>
            </w:r>
          </w:p>
        </w:tc>
        <w:tc>
          <w:tcPr>
            <w:tcW w:w="1246" w:type="dxa"/>
            <w:tcBorders/>
          </w:tcPr>
          <w:p>
            <w:pPr>
              <w:pStyle w:val="Normal"/>
              <w:snapToGrid w:val="false"/>
              <w:jc w:val="both"/>
              <w:rPr>
                <w:color w:val="000000"/>
                <w:sz w:val="24"/>
              </w:rPr>
            </w:pPr>
            <w:r>
              <w:rPr>
                <w:color w:val="000000"/>
                <w:sz w:val="24"/>
              </w:rPr>
            </w:r>
          </w:p>
        </w:tc>
        <w:tc>
          <w:tcPr>
            <w:tcW w:w="1010" w:type="dxa"/>
            <w:tcBorders/>
          </w:tcPr>
          <w:p>
            <w:pPr>
              <w:pStyle w:val="Normal"/>
              <w:jc w:val="both"/>
              <w:rPr>
                <w:color w:val="000000"/>
                <w:sz w:val="24"/>
              </w:rPr>
            </w:pPr>
            <w:r>
              <w:rPr>
                <w:color w:val="000000"/>
                <w:sz w:val="24"/>
              </w:rPr>
              <w:t>0.00</w:t>
            </w:r>
          </w:p>
        </w:tc>
        <w:tc>
          <w:tcPr>
            <w:tcW w:w="1152" w:type="dxa"/>
            <w:tcBorders/>
          </w:tcPr>
          <w:p>
            <w:pPr>
              <w:pStyle w:val="Normal"/>
              <w:snapToGrid w:val="false"/>
              <w:jc w:val="both"/>
              <w:rPr>
                <w:color w:val="000000"/>
                <w:sz w:val="24"/>
              </w:rPr>
            </w:pPr>
            <w:r>
              <w:rPr>
                <w:color w:val="000000"/>
                <w:sz w:val="24"/>
              </w:rPr>
            </w:r>
          </w:p>
        </w:tc>
      </w:tr>
      <w:tr>
        <w:trPr>
          <w:trHeight w:val="245" w:hRule="atLeast"/>
        </w:trPr>
        <w:tc>
          <w:tcPr>
            <w:tcW w:w="1010" w:type="dxa"/>
            <w:tcBorders/>
          </w:tcPr>
          <w:p>
            <w:pPr>
              <w:pStyle w:val="Normal"/>
              <w:snapToGrid w:val="false"/>
              <w:jc w:val="both"/>
              <w:rPr>
                <w:color w:val="000000"/>
                <w:sz w:val="24"/>
              </w:rPr>
            </w:pPr>
            <w:r>
              <w:rPr>
                <w:color w:val="000000"/>
                <w:sz w:val="24"/>
              </w:rPr>
            </w:r>
          </w:p>
        </w:tc>
        <w:tc>
          <w:tcPr>
            <w:tcW w:w="1011" w:type="dxa"/>
            <w:tcBorders/>
          </w:tcPr>
          <w:p>
            <w:pPr>
              <w:pStyle w:val="Normal"/>
              <w:snapToGrid w:val="false"/>
              <w:jc w:val="both"/>
              <w:rPr>
                <w:b/>
                <w:color w:val="000000"/>
                <w:sz w:val="24"/>
              </w:rPr>
            </w:pPr>
            <w:r>
              <w:rPr>
                <w:b/>
                <w:color w:val="000000"/>
                <w:sz w:val="24"/>
              </w:rPr>
            </w:r>
          </w:p>
        </w:tc>
        <w:tc>
          <w:tcPr>
            <w:tcW w:w="1010" w:type="dxa"/>
            <w:tcBorders/>
          </w:tcPr>
          <w:p>
            <w:pPr>
              <w:pStyle w:val="Normal"/>
              <w:snapToGrid w:val="false"/>
              <w:jc w:val="both"/>
              <w:rPr>
                <w:b/>
                <w:color w:val="000000"/>
                <w:sz w:val="24"/>
              </w:rPr>
            </w:pPr>
            <w:r>
              <w:rPr>
                <w:b/>
                <w:color w:val="000000"/>
                <w:sz w:val="24"/>
              </w:rPr>
            </w:r>
          </w:p>
        </w:tc>
        <w:tc>
          <w:tcPr>
            <w:tcW w:w="1246" w:type="dxa"/>
            <w:tcBorders/>
          </w:tcPr>
          <w:p>
            <w:pPr>
              <w:pStyle w:val="Normal"/>
              <w:jc w:val="both"/>
              <w:rPr>
                <w:color w:val="000000"/>
                <w:sz w:val="24"/>
              </w:rPr>
            </w:pPr>
            <w:r>
              <w:rPr>
                <w:color w:val="000000"/>
                <w:sz w:val="24"/>
              </w:rPr>
              <w:t>0.00</w:t>
            </w:r>
          </w:p>
        </w:tc>
        <w:tc>
          <w:tcPr>
            <w:tcW w:w="1010" w:type="dxa"/>
            <w:tcBorders/>
          </w:tcPr>
          <w:p>
            <w:pPr>
              <w:pStyle w:val="Normal"/>
              <w:snapToGrid w:val="false"/>
              <w:jc w:val="both"/>
              <w:rPr>
                <w:color w:val="000000"/>
                <w:sz w:val="24"/>
              </w:rPr>
            </w:pPr>
            <w:r>
              <w:rPr>
                <w:color w:val="000000"/>
                <w:sz w:val="24"/>
              </w:rPr>
            </w:r>
          </w:p>
        </w:tc>
        <w:tc>
          <w:tcPr>
            <w:tcW w:w="1152" w:type="dxa"/>
            <w:tcBorders/>
          </w:tcPr>
          <w:p>
            <w:pPr>
              <w:pStyle w:val="Normal"/>
              <w:jc w:val="both"/>
              <w:rPr>
                <w:color w:val="000000"/>
                <w:sz w:val="24"/>
              </w:rPr>
            </w:pPr>
            <w:r>
              <w:rPr>
                <w:color w:val="000000"/>
                <w:sz w:val="24"/>
              </w:rPr>
              <w:t>0.00</w:t>
            </w:r>
          </w:p>
        </w:tc>
      </w:tr>
      <w:tr>
        <w:trPr>
          <w:trHeight w:val="245" w:hRule="atLeast"/>
        </w:trPr>
        <w:tc>
          <w:tcPr>
            <w:tcW w:w="1010" w:type="dxa"/>
            <w:tcBorders/>
          </w:tcPr>
          <w:p>
            <w:pPr>
              <w:pStyle w:val="Normal"/>
              <w:snapToGrid w:val="false"/>
              <w:jc w:val="both"/>
              <w:rPr>
                <w:color w:val="000000"/>
                <w:sz w:val="24"/>
                <w:lang w:val="en-CA"/>
              </w:rPr>
            </w:pPr>
            <w:r>
              <w:rPr>
                <w:color w:val="000000"/>
                <w:sz w:val="24"/>
                <w:lang w:val="en-CA"/>
              </w:rPr>
              <mc:AlternateContent>
                <mc:Choice Requires="wps">
                  <w:drawing>
                    <wp:anchor behindDoc="0" distT="0" distB="0" distL="114935" distR="114935" simplePos="0" locked="0" layoutInCell="0" allowOverlap="1" relativeHeight="194">
                      <wp:simplePos x="0" y="0"/>
                      <wp:positionH relativeFrom="margin">
                        <wp:posOffset>3457575</wp:posOffset>
                      </wp:positionH>
                      <wp:positionV relativeFrom="paragraph">
                        <wp:posOffset>118110</wp:posOffset>
                      </wp:positionV>
                      <wp:extent cx="457200" cy="182880"/>
                      <wp:effectExtent l="5080" t="5080" r="5715" b="5715"/>
                      <wp:wrapNone/>
                      <wp:docPr id="25" name=""/>
                      <a:graphic xmlns:a="http://schemas.openxmlformats.org/drawingml/2006/main">
                        <a:graphicData uri="http://schemas.microsoft.com/office/word/2010/wordprocessingShape">
                          <wps:wsp>
                            <wps:cNvSpPr/>
                            <wps:spPr>
                              <a:xfrm>
                                <a:off x="0" y="0"/>
                                <a:ext cx="457200" cy="1828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72.25pt;margin-top:9.3pt;width:35.95pt;height:14.35pt;mso-wrap-style:none;v-text-anchor:middle;mso-position-horizontal-relative:margin">
                      <v:fill o:detectmouseclick="t" on="false"/>
                      <v:stroke color="black" weight="9360" joinstyle="miter" endcap="flat"/>
                      <w10:wrap type="none"/>
                    </v:oval>
                  </w:pict>
                </mc:Fallback>
              </mc:AlternateContent>
            </w:r>
          </w:p>
        </w:tc>
        <w:tc>
          <w:tcPr>
            <w:tcW w:w="1011" w:type="dxa"/>
            <w:tcBorders/>
          </w:tcPr>
          <w:p>
            <w:pPr>
              <w:pStyle w:val="Normal"/>
              <w:snapToGrid w:val="false"/>
              <w:jc w:val="both"/>
              <w:rPr>
                <w:b/>
                <w:color w:val="000000"/>
                <w:sz w:val="24"/>
              </w:rPr>
            </w:pPr>
            <w:r>
              <w:rPr>
                <w:b/>
                <w:color w:val="000000"/>
                <w:sz w:val="24"/>
              </w:rPr>
            </w:r>
          </w:p>
        </w:tc>
        <w:tc>
          <w:tcPr>
            <w:tcW w:w="1010" w:type="dxa"/>
            <w:tcBorders/>
          </w:tcPr>
          <w:p>
            <w:pPr>
              <w:pStyle w:val="Normal"/>
              <w:jc w:val="both"/>
              <w:rPr>
                <w:color w:val="000000"/>
                <w:sz w:val="24"/>
              </w:rPr>
            </w:pPr>
            <w:r>
              <w:rPr>
                <w:color w:val="000000"/>
                <w:sz w:val="24"/>
              </w:rPr>
              <w:t>0.00</w:t>
            </w:r>
          </w:p>
        </w:tc>
        <w:tc>
          <w:tcPr>
            <w:tcW w:w="1246" w:type="dxa"/>
            <w:tcBorders/>
          </w:tcPr>
          <w:p>
            <w:pPr>
              <w:pStyle w:val="Normal"/>
              <w:snapToGrid w:val="false"/>
              <w:jc w:val="both"/>
              <w:rPr>
                <w:color w:val="000000"/>
                <w:sz w:val="24"/>
              </w:rPr>
            </w:pPr>
            <w:r>
              <w:rPr>
                <w:color w:val="000000"/>
                <w:sz w:val="24"/>
              </w:rPr>
            </w:r>
          </w:p>
        </w:tc>
        <w:tc>
          <w:tcPr>
            <w:tcW w:w="1010" w:type="dxa"/>
            <w:tcBorders/>
          </w:tcPr>
          <w:p>
            <w:pPr>
              <w:pStyle w:val="Normal"/>
              <w:jc w:val="both"/>
              <w:rPr>
                <w:color w:val="000000"/>
                <w:sz w:val="24"/>
              </w:rPr>
            </w:pPr>
            <w:r>
              <w:rPr>
                <w:color w:val="000000"/>
                <w:sz w:val="24"/>
              </w:rPr>
              <w:t>0.00</w:t>
            </w:r>
          </w:p>
        </w:tc>
        <w:tc>
          <w:tcPr>
            <w:tcW w:w="1152" w:type="dxa"/>
            <w:tcBorders/>
          </w:tcPr>
          <w:p>
            <w:pPr>
              <w:pStyle w:val="Normal"/>
              <w:snapToGrid w:val="false"/>
              <w:jc w:val="both"/>
              <w:rPr>
                <w:color w:val="000000"/>
                <w:sz w:val="24"/>
              </w:rPr>
            </w:pPr>
            <w:r>
              <w:rPr>
                <w:color w:val="000000"/>
                <w:sz w:val="24"/>
              </w:rPr>
            </w:r>
          </w:p>
        </w:tc>
      </w:tr>
      <w:tr>
        <w:trPr>
          <w:trHeight w:val="245" w:hRule="atLeast"/>
        </w:trPr>
        <w:tc>
          <w:tcPr>
            <w:tcW w:w="1010" w:type="dxa"/>
            <w:tcBorders/>
          </w:tcPr>
          <w:p>
            <w:pPr>
              <w:pStyle w:val="Normal"/>
              <w:snapToGrid w:val="false"/>
              <w:jc w:val="both"/>
              <w:rPr>
                <w:color w:val="000000"/>
                <w:sz w:val="24"/>
              </w:rPr>
            </w:pPr>
            <w:r>
              <w:rPr>
                <w:color w:val="000000"/>
                <w:sz w:val="24"/>
              </w:rPr>
            </w:r>
          </w:p>
        </w:tc>
        <w:tc>
          <w:tcPr>
            <w:tcW w:w="1011" w:type="dxa"/>
            <w:tcBorders/>
          </w:tcPr>
          <w:p>
            <w:pPr>
              <w:pStyle w:val="Normal"/>
              <w:jc w:val="both"/>
              <w:rPr>
                <w:color w:val="000000"/>
                <w:sz w:val="24"/>
              </w:rPr>
            </w:pPr>
            <w:r>
              <w:rPr>
                <w:color w:val="000000"/>
                <w:sz w:val="24"/>
              </w:rPr>
              <w:t>0.00</w:t>
            </w:r>
          </w:p>
        </w:tc>
        <w:tc>
          <w:tcPr>
            <w:tcW w:w="1010" w:type="dxa"/>
            <w:tcBorders/>
          </w:tcPr>
          <w:p>
            <w:pPr>
              <w:pStyle w:val="Normal"/>
              <w:snapToGrid w:val="false"/>
              <w:jc w:val="both"/>
              <w:rPr>
                <w:color w:val="000000"/>
                <w:sz w:val="24"/>
              </w:rPr>
            </w:pPr>
            <w:r>
              <w:rPr>
                <w:color w:val="000000"/>
                <w:sz w:val="24"/>
              </w:rPr>
            </w:r>
          </w:p>
        </w:tc>
        <w:tc>
          <w:tcPr>
            <w:tcW w:w="1246" w:type="dxa"/>
            <w:tcBorders/>
          </w:tcPr>
          <w:p>
            <w:pPr>
              <w:pStyle w:val="Normal"/>
              <w:jc w:val="both"/>
              <w:rPr>
                <w:color w:val="000000"/>
                <w:sz w:val="24"/>
              </w:rPr>
            </w:pPr>
            <w:r>
              <w:rPr>
                <w:color w:val="000000"/>
                <w:sz w:val="24"/>
              </w:rPr>
              <w:t>0.00</w:t>
            </w:r>
          </w:p>
        </w:tc>
        <w:tc>
          <w:tcPr>
            <w:tcW w:w="1010" w:type="dxa"/>
            <w:tcBorders/>
          </w:tcPr>
          <w:p>
            <w:pPr>
              <w:pStyle w:val="Normal"/>
              <w:snapToGrid w:val="false"/>
              <w:jc w:val="both"/>
              <w:rPr>
                <w:color w:val="000000"/>
                <w:sz w:val="24"/>
              </w:rPr>
            </w:pPr>
            <w:r>
              <w:rPr>
                <w:color w:val="000000"/>
                <w:sz w:val="24"/>
              </w:rPr>
            </w:r>
          </w:p>
        </w:tc>
        <w:tc>
          <w:tcPr>
            <w:tcW w:w="1152" w:type="dxa"/>
            <w:tcBorders/>
          </w:tcPr>
          <w:p>
            <w:pPr>
              <w:pStyle w:val="Normal"/>
              <w:jc w:val="both"/>
              <w:rPr>
                <w:color w:val="000000"/>
                <w:sz w:val="24"/>
              </w:rPr>
            </w:pPr>
            <w:r>
              <w:rPr>
                <w:color w:val="000000"/>
                <w:sz w:val="24"/>
              </w:rPr>
              <w:t>0.00</w:t>
            </w:r>
          </w:p>
        </w:tc>
      </w:tr>
      <w:tr>
        <w:trPr>
          <w:trHeight w:val="245" w:hRule="atLeast"/>
        </w:trPr>
        <w:tc>
          <w:tcPr>
            <w:tcW w:w="1010" w:type="dxa"/>
            <w:tcBorders/>
          </w:tcPr>
          <w:p>
            <w:pPr>
              <w:pStyle w:val="Normal"/>
              <w:snapToGrid w:val="false"/>
              <w:jc w:val="both"/>
              <w:rPr>
                <w:color w:val="000000"/>
                <w:sz w:val="24"/>
              </w:rPr>
            </w:pPr>
            <w:r>
              <w:rPr>
                <w:color w:val="000000"/>
                <w:sz w:val="24"/>
              </w:rPr>
            </w:r>
          </w:p>
        </w:tc>
        <w:tc>
          <w:tcPr>
            <w:tcW w:w="1011" w:type="dxa"/>
            <w:tcBorders/>
          </w:tcPr>
          <w:p>
            <w:pPr>
              <w:pStyle w:val="Normal"/>
              <w:snapToGrid w:val="false"/>
              <w:jc w:val="both"/>
              <w:rPr>
                <w:color w:val="000000"/>
                <w:sz w:val="24"/>
              </w:rPr>
            </w:pPr>
            <w:r>
              <w:rPr>
                <w:color w:val="000000"/>
                <w:sz w:val="24"/>
              </w:rPr>
            </w:r>
          </w:p>
        </w:tc>
        <w:tc>
          <w:tcPr>
            <w:tcW w:w="1010" w:type="dxa"/>
            <w:tcBorders/>
          </w:tcPr>
          <w:p>
            <w:pPr>
              <w:pStyle w:val="Normal"/>
              <w:jc w:val="both"/>
              <w:rPr>
                <w:color w:val="000000"/>
                <w:sz w:val="24"/>
              </w:rPr>
            </w:pPr>
            <w:r>
              <w:rPr>
                <w:color w:val="000000"/>
                <w:sz w:val="24"/>
              </w:rPr>
              <w:t>0.00</w:t>
            </w:r>
          </w:p>
        </w:tc>
        <w:tc>
          <w:tcPr>
            <w:tcW w:w="1246" w:type="dxa"/>
            <w:tcBorders/>
          </w:tcPr>
          <w:p>
            <w:pPr>
              <w:pStyle w:val="Normal"/>
              <w:snapToGrid w:val="false"/>
              <w:jc w:val="both"/>
              <w:rPr>
                <w:color w:val="000000"/>
                <w:sz w:val="24"/>
              </w:rPr>
            </w:pPr>
            <w:r>
              <w:rPr>
                <w:color w:val="000000"/>
                <w:sz w:val="24"/>
              </w:rPr>
            </w:r>
          </w:p>
        </w:tc>
        <w:tc>
          <w:tcPr>
            <w:tcW w:w="1010" w:type="dxa"/>
            <w:tcBorders/>
          </w:tcPr>
          <w:p>
            <w:pPr>
              <w:pStyle w:val="Normal"/>
              <w:jc w:val="both"/>
              <w:rPr>
                <w:color w:val="000000"/>
                <w:sz w:val="24"/>
              </w:rPr>
            </w:pPr>
            <w:r>
              <w:rPr>
                <w:color w:val="000000"/>
                <w:sz w:val="24"/>
              </w:rPr>
              <w:t>0.00</w:t>
            </w:r>
          </w:p>
        </w:tc>
        <w:tc>
          <w:tcPr>
            <w:tcW w:w="1152" w:type="dxa"/>
            <w:tcBorders/>
          </w:tcPr>
          <w:p>
            <w:pPr>
              <w:pStyle w:val="Normal"/>
              <w:snapToGrid w:val="false"/>
              <w:jc w:val="both"/>
              <w:rPr>
                <w:color w:val="000000"/>
                <w:sz w:val="24"/>
              </w:rPr>
            </w:pPr>
            <w:r>
              <w:rPr>
                <w:color w:val="000000"/>
                <w:sz w:val="24"/>
              </w:rPr>
            </w:r>
          </w:p>
        </w:tc>
      </w:tr>
      <w:tr>
        <w:trPr>
          <w:trHeight w:val="245" w:hRule="atLeast"/>
        </w:trPr>
        <w:tc>
          <w:tcPr>
            <w:tcW w:w="1010" w:type="dxa"/>
            <w:tcBorders/>
          </w:tcPr>
          <w:p>
            <w:pPr>
              <w:pStyle w:val="Normal"/>
              <w:snapToGrid w:val="false"/>
              <w:jc w:val="both"/>
              <w:rPr>
                <w:color w:val="000000"/>
                <w:sz w:val="24"/>
              </w:rPr>
            </w:pPr>
            <w:r>
              <w:rPr>
                <w:color w:val="000000"/>
                <w:sz w:val="24"/>
              </w:rPr>
            </w:r>
          </w:p>
        </w:tc>
        <w:tc>
          <w:tcPr>
            <w:tcW w:w="1011" w:type="dxa"/>
            <w:tcBorders/>
          </w:tcPr>
          <w:p>
            <w:pPr>
              <w:pStyle w:val="Normal"/>
              <w:snapToGrid w:val="false"/>
              <w:jc w:val="both"/>
              <w:rPr>
                <w:color w:val="000000"/>
                <w:sz w:val="24"/>
              </w:rPr>
            </w:pPr>
            <w:r>
              <w:rPr>
                <w:color w:val="000000"/>
                <w:sz w:val="24"/>
              </w:rPr>
            </w:r>
          </w:p>
        </w:tc>
        <w:tc>
          <w:tcPr>
            <w:tcW w:w="1010" w:type="dxa"/>
            <w:tcBorders/>
          </w:tcPr>
          <w:p>
            <w:pPr>
              <w:pStyle w:val="Normal"/>
              <w:snapToGrid w:val="false"/>
              <w:jc w:val="both"/>
              <w:rPr>
                <w:color w:val="000000"/>
                <w:sz w:val="24"/>
              </w:rPr>
            </w:pPr>
            <w:r>
              <w:rPr>
                <w:color w:val="000000"/>
                <w:sz w:val="24"/>
              </w:rPr>
            </w:r>
          </w:p>
        </w:tc>
        <w:tc>
          <w:tcPr>
            <w:tcW w:w="1246" w:type="dxa"/>
            <w:tcBorders/>
          </w:tcPr>
          <w:p>
            <w:pPr>
              <w:pStyle w:val="Normal"/>
              <w:jc w:val="both"/>
              <w:rPr>
                <w:color w:val="000000"/>
                <w:sz w:val="24"/>
              </w:rPr>
            </w:pPr>
            <w:r>
              <w:rPr>
                <w:color w:val="000000"/>
                <w:sz w:val="24"/>
              </w:rPr>
              <w:t>0.00</w:t>
            </w:r>
          </w:p>
        </w:tc>
        <w:tc>
          <w:tcPr>
            <w:tcW w:w="1010" w:type="dxa"/>
            <w:tcBorders/>
          </w:tcPr>
          <w:p>
            <w:pPr>
              <w:pStyle w:val="Normal"/>
              <w:snapToGrid w:val="false"/>
              <w:jc w:val="both"/>
              <w:rPr>
                <w:color w:val="000000"/>
                <w:sz w:val="24"/>
              </w:rPr>
            </w:pPr>
            <w:r>
              <w:rPr>
                <w:color w:val="000000"/>
                <w:sz w:val="24"/>
              </w:rPr>
            </w:r>
          </w:p>
        </w:tc>
        <w:tc>
          <w:tcPr>
            <w:tcW w:w="1152" w:type="dxa"/>
            <w:tcBorders/>
          </w:tcPr>
          <w:p>
            <w:pPr>
              <w:pStyle w:val="Normal"/>
              <w:jc w:val="both"/>
              <w:rPr>
                <w:color w:val="000000"/>
                <w:sz w:val="24"/>
              </w:rPr>
            </w:pPr>
            <w:r>
              <w:rPr>
                <w:color w:val="000000"/>
                <w:sz w:val="24"/>
              </w:rPr>
              <w:t>0.00</w:t>
            </w:r>
          </w:p>
        </w:tc>
      </w:tr>
      <w:tr>
        <w:trPr>
          <w:trHeight w:val="245" w:hRule="atLeast"/>
        </w:trPr>
        <w:tc>
          <w:tcPr>
            <w:tcW w:w="1010" w:type="dxa"/>
            <w:tcBorders/>
          </w:tcPr>
          <w:p>
            <w:pPr>
              <w:pStyle w:val="Normal"/>
              <w:snapToGrid w:val="false"/>
              <w:jc w:val="both"/>
              <w:rPr>
                <w:color w:val="000000"/>
                <w:sz w:val="24"/>
              </w:rPr>
            </w:pPr>
            <w:r>
              <w:rPr>
                <w:color w:val="000000"/>
                <w:sz w:val="24"/>
              </w:rPr>
            </w:r>
          </w:p>
        </w:tc>
        <w:tc>
          <w:tcPr>
            <w:tcW w:w="1011" w:type="dxa"/>
            <w:tcBorders/>
          </w:tcPr>
          <w:p>
            <w:pPr>
              <w:pStyle w:val="Normal"/>
              <w:snapToGrid w:val="false"/>
              <w:jc w:val="both"/>
              <w:rPr>
                <w:color w:val="000000"/>
                <w:sz w:val="24"/>
              </w:rPr>
            </w:pPr>
            <w:r>
              <w:rPr>
                <w:color w:val="000000"/>
                <w:sz w:val="24"/>
              </w:rPr>
            </w:r>
          </w:p>
        </w:tc>
        <w:tc>
          <w:tcPr>
            <w:tcW w:w="1010" w:type="dxa"/>
            <w:tcBorders/>
          </w:tcPr>
          <w:p>
            <w:pPr>
              <w:pStyle w:val="Normal"/>
              <w:snapToGrid w:val="false"/>
              <w:jc w:val="both"/>
              <w:rPr>
                <w:color w:val="000000"/>
                <w:sz w:val="24"/>
              </w:rPr>
            </w:pPr>
            <w:r>
              <w:rPr>
                <w:color w:val="000000"/>
                <w:sz w:val="24"/>
              </w:rPr>
            </w:r>
          </w:p>
        </w:tc>
        <w:tc>
          <w:tcPr>
            <w:tcW w:w="1246" w:type="dxa"/>
            <w:tcBorders/>
          </w:tcPr>
          <w:p>
            <w:pPr>
              <w:pStyle w:val="Normal"/>
              <w:snapToGrid w:val="false"/>
              <w:jc w:val="both"/>
              <w:rPr>
                <w:color w:val="000000"/>
                <w:sz w:val="24"/>
              </w:rPr>
            </w:pPr>
            <w:r>
              <w:rPr>
                <w:color w:val="000000"/>
                <w:sz w:val="24"/>
              </w:rPr>
            </w:r>
          </w:p>
        </w:tc>
        <w:tc>
          <w:tcPr>
            <w:tcW w:w="1010" w:type="dxa"/>
            <w:tcBorders/>
          </w:tcPr>
          <w:p>
            <w:pPr>
              <w:pStyle w:val="Normal"/>
              <w:jc w:val="both"/>
              <w:rPr>
                <w:color w:val="000000"/>
                <w:sz w:val="24"/>
              </w:rPr>
            </w:pPr>
            <w:r>
              <w:rPr>
                <w:color w:val="000000"/>
                <w:sz w:val="24"/>
              </w:rPr>
              <w:t>0.00</w:t>
            </w:r>
          </w:p>
        </w:tc>
        <w:tc>
          <w:tcPr>
            <w:tcW w:w="1152" w:type="dxa"/>
            <w:tcBorders/>
          </w:tcPr>
          <w:p>
            <w:pPr>
              <w:pStyle w:val="Normal"/>
              <w:snapToGrid w:val="false"/>
              <w:jc w:val="both"/>
              <w:rPr>
                <w:color w:val="000000"/>
                <w:sz w:val="24"/>
              </w:rPr>
            </w:pPr>
            <w:r>
              <w:rPr>
                <w:color w:val="000000"/>
                <w:sz w:val="24"/>
              </w:rPr>
            </w:r>
          </w:p>
        </w:tc>
      </w:tr>
      <w:tr>
        <w:trPr>
          <w:trHeight w:val="245" w:hRule="atLeast"/>
        </w:trPr>
        <w:tc>
          <w:tcPr>
            <w:tcW w:w="1010" w:type="dxa"/>
            <w:tcBorders/>
          </w:tcPr>
          <w:p>
            <w:pPr>
              <w:pStyle w:val="Normal"/>
              <w:snapToGrid w:val="false"/>
              <w:jc w:val="both"/>
              <w:rPr>
                <w:color w:val="000000"/>
                <w:sz w:val="24"/>
              </w:rPr>
            </w:pPr>
            <w:r>
              <w:rPr>
                <w:color w:val="000000"/>
                <w:sz w:val="24"/>
              </w:rPr>
            </w:r>
          </w:p>
        </w:tc>
        <w:tc>
          <w:tcPr>
            <w:tcW w:w="1011" w:type="dxa"/>
            <w:tcBorders/>
          </w:tcPr>
          <w:p>
            <w:pPr>
              <w:pStyle w:val="Normal"/>
              <w:snapToGrid w:val="false"/>
              <w:jc w:val="both"/>
              <w:rPr>
                <w:color w:val="000000"/>
                <w:sz w:val="24"/>
              </w:rPr>
            </w:pPr>
            <w:r>
              <w:rPr>
                <w:color w:val="000000"/>
                <w:sz w:val="24"/>
              </w:rPr>
            </w:r>
          </w:p>
        </w:tc>
        <w:tc>
          <w:tcPr>
            <w:tcW w:w="1010" w:type="dxa"/>
            <w:tcBorders/>
          </w:tcPr>
          <w:p>
            <w:pPr>
              <w:pStyle w:val="Normal"/>
              <w:snapToGrid w:val="false"/>
              <w:jc w:val="both"/>
              <w:rPr>
                <w:color w:val="000000"/>
                <w:sz w:val="24"/>
              </w:rPr>
            </w:pPr>
            <w:r>
              <w:rPr>
                <w:color w:val="000000"/>
                <w:sz w:val="24"/>
              </w:rPr>
            </w:r>
          </w:p>
        </w:tc>
        <w:tc>
          <w:tcPr>
            <w:tcW w:w="1246" w:type="dxa"/>
            <w:tcBorders/>
          </w:tcPr>
          <w:p>
            <w:pPr>
              <w:pStyle w:val="Normal"/>
              <w:snapToGrid w:val="false"/>
              <w:jc w:val="both"/>
              <w:rPr>
                <w:color w:val="000000"/>
                <w:sz w:val="24"/>
              </w:rPr>
            </w:pPr>
            <w:r>
              <w:rPr>
                <w:color w:val="000000"/>
                <w:sz w:val="24"/>
              </w:rPr>
            </w:r>
          </w:p>
        </w:tc>
        <w:tc>
          <w:tcPr>
            <w:tcW w:w="1010" w:type="dxa"/>
            <w:tcBorders/>
          </w:tcPr>
          <w:p>
            <w:pPr>
              <w:pStyle w:val="Normal"/>
              <w:snapToGrid w:val="false"/>
              <w:jc w:val="both"/>
              <w:rPr>
                <w:color w:val="000000"/>
                <w:sz w:val="24"/>
              </w:rPr>
            </w:pPr>
            <w:r>
              <w:rPr>
                <w:color w:val="000000"/>
                <w:sz w:val="24"/>
              </w:rPr>
            </w:r>
          </w:p>
        </w:tc>
        <w:tc>
          <w:tcPr>
            <w:tcW w:w="1152" w:type="dxa"/>
            <w:tcBorders/>
          </w:tcPr>
          <w:p>
            <w:pPr>
              <w:pStyle w:val="Normal"/>
              <w:jc w:val="both"/>
              <w:rPr>
                <w:color w:val="000000"/>
                <w:sz w:val="24"/>
              </w:rPr>
            </w:pPr>
            <w:r>
              <w:rPr>
                <w:color w:val="000000"/>
                <w:sz w:val="24"/>
              </w:rPr>
              <w:t>0.00</w:t>
            </w:r>
          </w:p>
        </w:tc>
      </w:tr>
    </w:tbl>
    <w:p>
      <w:pPr>
        <w:pStyle w:val="Footer"/>
        <w:tabs>
          <w:tab w:val="clear" w:pos="4320"/>
          <w:tab w:val="clear" w:pos="8640"/>
          <w:tab w:val="left" w:pos="720" w:leader="none"/>
          <w:tab w:val="left" w:pos="2880" w:leader="none"/>
        </w:tabs>
        <w:jc w:val="both"/>
        <w:rPr/>
      </w:pPr>
      <w:r>
        <w:rPr/>
      </w:r>
    </w:p>
    <w:p>
      <w:pPr>
        <w:pStyle w:val="BodyText"/>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jc w:val="both"/>
        <w:rPr>
          <w:rFonts w:ascii="Times New Roman" w:hAnsi="Times New Roman" w:cs="Times New Roman"/>
          <w:b/>
          <w:sz w:val="24"/>
        </w:rPr>
      </w:pPr>
      <w:r>
        <w:rPr>
          <w:rFonts w:cs="Times New Roman" w:ascii="Times New Roman" w:hAnsi="Times New Roman"/>
          <w:b/>
          <w:sz w:val="24"/>
        </w:rPr>
        <w:t>Figure XX. Pricing a Swing Option Using Binomial Forest</w:t>
      </w:r>
    </w:p>
    <w:p>
      <w:pPr>
        <w:pStyle w:val="Footer"/>
        <w:tabs>
          <w:tab w:val="clear" w:pos="4320"/>
          <w:tab w:val="clear" w:pos="8640"/>
          <w:tab w:val="left" w:pos="720" w:leader="none"/>
          <w:tab w:val="left" w:pos="2880" w:leader="none"/>
        </w:tabs>
        <w:jc w:val="both"/>
        <w:rPr>
          <w:rFonts w:ascii="Times New Roman" w:hAnsi="Times New Roman" w:cs="Times New Roman"/>
          <w:b/>
          <w:sz w:val="24"/>
        </w:rPr>
      </w:pPr>
      <w:r>
        <w:rPr>
          <w:rFonts w:cs="Times New Roman"/>
          <w:b/>
          <w:sz w:val="24"/>
        </w:rPr>
      </w:r>
    </w:p>
    <w:p>
      <w:pPr>
        <w:pStyle w:val="Footer"/>
        <w:tabs>
          <w:tab w:val="clear" w:pos="4320"/>
          <w:tab w:val="clear" w:pos="8640"/>
          <w:tab w:val="left" w:pos="720" w:leader="none"/>
          <w:tab w:val="left" w:pos="2880" w:leader="none"/>
        </w:tabs>
        <w:jc w:val="both"/>
        <w:rPr/>
      </w:pPr>
      <w:r>
        <w:rPr>
          <w:color w:val="0000FF"/>
        </w:rPr>
        <w:t xml:space="preserve">The value of taking the minimum is $0.906 (0 from immediate payoff plus $1.809 next week with a probability of 0.501 and 0 with a probability of 0.499). This is greater than value of taking the maximum which is $0.89 (all coming from the immediate payoff since option values are all zero for </w:t>
      </w:r>
      <w:r>
        <w:rPr>
          <w:i/>
          <w:color w:val="0000FF"/>
        </w:rPr>
        <w:t>k</w:t>
      </w:r>
      <w:r>
        <w:rPr>
          <w:color w:val="0000FF"/>
        </w:rPr>
        <w:t xml:space="preserve"> = 3).</w:t>
      </w:r>
    </w:p>
    <w:p>
      <w:pPr>
        <w:pStyle w:val="BodyText"/>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BodyText"/>
        <w:ind w:firstLine="720" w:end="0"/>
        <w:jc w:val="both"/>
        <w:rPr/>
      </w:pPr>
      <w:r>
        <w:rPr>
          <w:rFonts w:cs="Times New Roman" w:ascii="Times New Roman" w:hAnsi="Times New Roman"/>
          <w:sz w:val="24"/>
        </w:rPr>
        <w:t>For the node highlighted light blue (top most node for the 2</w:t>
      </w:r>
      <w:r>
        <w:rPr>
          <w:rFonts w:cs="Times New Roman" w:ascii="Times New Roman" w:hAnsi="Times New Roman"/>
          <w:sz w:val="24"/>
          <w:vertAlign w:val="superscript"/>
        </w:rPr>
        <w:t>nd</w:t>
      </w:r>
      <w:r>
        <w:rPr>
          <w:rFonts w:cs="Times New Roman" w:ascii="Times New Roman" w:hAnsi="Times New Roman"/>
          <w:sz w:val="24"/>
        </w:rPr>
        <w:t xml:space="preserve"> week) in the tree for volume level </w:t>
      </w:r>
      <w:r>
        <w:rPr>
          <w:rFonts w:cs="Times New Roman" w:ascii="Times New Roman" w:hAnsi="Times New Roman"/>
        </w:rPr>
      </w:r>
      <m:oMath xmlns:m="http://schemas.openxmlformats.org/officeDocument/2006/math">
        <m:r>
          <m:t xml:space="preserve">k</m:t>
        </m:r>
        <m:r>
          <m:t xml:space="preserve">=</m:t>
        </m:r>
        <m:r>
          <m:t xml:space="preserve">1</m:t>
        </m:r>
      </m:oMath>
      <w:r>
        <w:rPr>
          <w:rFonts w:cs="Times New Roman" w:ascii="Times New Roman" w:hAnsi="Times New Roman"/>
          <w:sz w:val="24"/>
        </w:rPr>
        <w:t>, we have</w:t>
      </w:r>
    </w:p>
    <w:p>
      <w:pPr>
        <w:pStyle w:val="BodyText"/>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color w:val="0000FF"/>
          <w:sz w:val="24"/>
        </w:rPr>
      </w:pPr>
      <w:r>
        <w:rPr>
          <w:color w:val="0000FF"/>
        </w:rPr>
      </w:r>
      <m:oMathPara xmlns:m="http://schemas.openxmlformats.org/officeDocument/2006/math">
        <m:oMathParaPr>
          <m:jc m:val="left"/>
        </m:oMathParaPr>
        <m:oMath>
          <m:eqArr>
            <m:e>
              <m:r>
                <m:rPr>
                  <m:lit/>
                  <m:nor/>
                </m:rPr>
                <m:t xml:space="preserve">Option Value </m:t>
              </m:r>
              <m:sSubSup>
                <m:e>
                  <m:r>
                    <m:t xml:space="preserve">F</m:t>
                  </m:r>
                </m:e>
                <m:sub>
                  <m:r>
                    <m:t xml:space="preserve">2,2</m:t>
                  </m:r>
                </m:sub>
                <m:sup>
                  <m:r>
                    <m:t xml:space="preserve">1</m:t>
                  </m:r>
                </m:sup>
              </m:sSubSup>
              <m:r>
                <m:t xml:space="preserve">=</m:t>
              </m:r>
              <m:r>
                <m:rPr>
                  <m:lit/>
                  <m:nor/>
                </m:rPr>
                <m:t xml:space="preserve">max</m:t>
              </m:r>
              <m:d>
                <m:dPr>
                  <m:begChr m:val="{"/>
                  <m:endChr m:val="}"/>
                </m:dPr>
                <m:e>
                  <m:m>
                    <m:mr>
                      <m:e>
                        <m:r>
                          <m:rPr>
                            <m:lit/>
                            <m:nor/>
                          </m:rPr>
                          <m:t xml:space="preserve">0*</m:t>
                        </m:r>
                        <m:r>
                          <m:t xml:space="preserve">(</m:t>
                        </m:r>
                        <m:r>
                          <m:t xml:space="preserve">2</m:t>
                        </m:r>
                        <m:r>
                          <m:rPr>
                            <m:lit/>
                            <m:nor/>
                          </m:rPr>
                          <m:t xml:space="preserve">.</m:t>
                        </m:r>
                        <m:r>
                          <m:rPr>
                            <m:lit/>
                            <m:nor/>
                          </m:rPr>
                          <m:t xml:space="preserve">181-2</m:t>
                        </m:r>
                        <m:r>
                          <m:t xml:space="preserve">)</m:t>
                        </m:r>
                        <m:r>
                          <m:t xml:space="preserve">+</m:t>
                        </m:r>
                        <m:r>
                          <m:t xml:space="preserve">0</m:t>
                        </m:r>
                        <m:r>
                          <m:rPr>
                            <m:lit/>
                            <m:nor/>
                          </m:rPr>
                          <m:t xml:space="preserve">.</m:t>
                        </m:r>
                        <m:r>
                          <m:rPr>
                            <m:lit/>
                            <m:nor/>
                          </m:rPr>
                          <m:t xml:space="preserve">999</m:t>
                        </m:r>
                        <m:r>
                          <m:t xml:space="preserve">∗</m:t>
                        </m:r>
                        <m:d>
                          <m:dPr>
                            <m:begChr m:val="["/>
                            <m:endChr m:val="]"/>
                          </m:dPr>
                          <m:e>
                            <m:r>
                              <m:t xml:space="preserve">0</m:t>
                            </m:r>
                            <m:r>
                              <m:rPr>
                                <m:lit/>
                                <m:nor/>
                              </m:rPr>
                              <m:t xml:space="preserve">.</m:t>
                            </m:r>
                            <m:r>
                              <m:rPr>
                                <m:lit/>
                                <m:nor/>
                              </m:rPr>
                              <m:t xml:space="preserve">501*5</m:t>
                            </m:r>
                            <m:r>
                              <m:rPr>
                                <m:lit/>
                                <m:nor/>
                              </m:rPr>
                              <m:t xml:space="preserve">.</m:t>
                            </m:r>
                            <m:r>
                              <m:rPr>
                                <m:lit/>
                                <m:nor/>
                              </m:rPr>
                              <m:t xml:space="preserve">57+0</m:t>
                            </m:r>
                            <m:r>
                              <m:rPr>
                                <m:lit/>
                                <m:nor/>
                              </m:rPr>
                              <m:t xml:space="preserve">.</m:t>
                            </m:r>
                            <m:r>
                              <m:rPr>
                                <m:lit/>
                                <m:nor/>
                              </m:rPr>
                              <m:t xml:space="preserve">499*1</m:t>
                            </m:r>
                            <m:r>
                              <m:rPr>
                                <m:lit/>
                                <m:nor/>
                              </m:rPr>
                              <m:t xml:space="preserve">.</m:t>
                            </m:r>
                            <m:r>
                              <m:rPr>
                                <m:lit/>
                                <m:nor/>
                              </m:rPr>
                              <m:t xml:space="preserve">791</m:t>
                            </m:r>
                          </m:e>
                        </m:d>
                      </m:e>
                    </m:mr>
                    <m:mr>
                      <m:e>
                        <m:r>
                          <m:rPr>
                            <m:lit/>
                            <m:nor/>
                          </m:rPr>
                          <m:t xml:space="preserve">10*</m:t>
                        </m:r>
                        <m:r>
                          <m:t xml:space="preserve">(</m:t>
                        </m:r>
                        <m:r>
                          <m:t xml:space="preserve">2</m:t>
                        </m:r>
                        <m:r>
                          <m:rPr>
                            <m:lit/>
                            <m:nor/>
                          </m:rPr>
                          <m:t xml:space="preserve">.</m:t>
                        </m:r>
                        <m:r>
                          <m:rPr>
                            <m:lit/>
                            <m:nor/>
                          </m:rPr>
                          <m:t xml:space="preserve">181-2</m:t>
                        </m:r>
                        <m:r>
                          <m:t xml:space="preserve">)</m:t>
                        </m:r>
                        <m:r>
                          <m:rPr>
                            <m:lit/>
                            <m:nor/>
                          </m:rPr>
                          <m:t xml:space="preserve">+0</m:t>
                        </m:r>
                        <m:r>
                          <m:rPr>
                            <m:lit/>
                            <m:nor/>
                          </m:rPr>
                          <m:t xml:space="preserve">.</m:t>
                        </m:r>
                        <m:r>
                          <m:rPr>
                            <m:lit/>
                            <m:nor/>
                          </m:rPr>
                          <m:t xml:space="preserve">999*</m:t>
                        </m:r>
                        <m:d>
                          <m:dPr>
                            <m:begChr m:val="["/>
                            <m:endChr m:val="]"/>
                          </m:dPr>
                          <m:e>
                            <m:r>
                              <m:t xml:space="preserve">0</m:t>
                            </m:r>
                            <m:r>
                              <m:rPr>
                                <m:lit/>
                                <m:nor/>
                              </m:rPr>
                              <m:t xml:space="preserve">.</m:t>
                            </m:r>
                            <m:r>
                              <m:rPr>
                                <m:lit/>
                                <m:nor/>
                              </m:rPr>
                              <m:t xml:space="preserve">501*2</m:t>
                            </m:r>
                            <m:r>
                              <m:rPr>
                                <m:lit/>
                                <m:nor/>
                              </m:rPr>
                              <m:t xml:space="preserve">.</m:t>
                            </m:r>
                            <m:r>
                              <m:rPr>
                                <m:lit/>
                                <m:nor/>
                              </m:rPr>
                              <m:t xml:space="preserve">795+0</m:t>
                            </m:r>
                            <m:r>
                              <m:rPr>
                                <m:lit/>
                                <m:nor/>
                              </m:rPr>
                              <m:t xml:space="preserve">.</m:t>
                            </m:r>
                            <m:r>
                              <m:rPr>
                                <m:lit/>
                                <m:nor/>
                              </m:rPr>
                              <m:t xml:space="preserve">499*0</m:t>
                            </m:r>
                            <m:r>
                              <m:rPr>
                                <m:lit/>
                                <m:nor/>
                              </m:rPr>
                              <m:t xml:space="preserve">.</m:t>
                            </m:r>
                            <m:r>
                              <m:rPr>
                                <m:lit/>
                                <m:nor/>
                              </m:rPr>
                              <m:t xml:space="preserve">906</m:t>
                            </m:r>
                          </m:e>
                        </m:d>
                      </m:e>
                    </m:mr>
                  </m:m>
                </m:e>
              </m:d>
            </m:e>
            <m:e>
              <m:r>
                <m:rPr>
                  <m:lit/>
                  <m:nor/>
                </m:rPr>
                <m:t xml:space="preserve">max</m:t>
              </m:r>
              <m:d>
                <m:dPr>
                  <m:begChr m:val="{"/>
                  <m:endChr m:val="}"/>
                </m:dPr>
                <m:e>
                  <m:r>
                    <m:t xml:space="preserve">3</m:t>
                  </m:r>
                  <m:r>
                    <m:rPr>
                      <m:lit/>
                      <m:nor/>
                    </m:rPr>
                    <m:t xml:space="preserve">.</m:t>
                  </m:r>
                  <m:r>
                    <m:rPr>
                      <m:lit/>
                      <m:nor/>
                    </m:rPr>
                    <m:t xml:space="preserve">681</m:t>
                  </m:r>
                  <m:r>
                    <m:t xml:space="preserve">,</m:t>
                  </m:r>
                  <m:r>
                    <m:t xml:space="preserve">3</m:t>
                  </m:r>
                  <m:r>
                    <m:rPr>
                      <m:lit/>
                      <m:nor/>
                    </m:rPr>
                    <m:t xml:space="preserve">.</m:t>
                  </m:r>
                  <m:r>
                    <m:rPr>
                      <m:lit/>
                      <m:nor/>
                    </m:rPr>
                    <m:t xml:space="preserve">66</m:t>
                  </m:r>
                </m:e>
              </m:d>
            </m:e>
            <m:e>
              <m:r>
                <m:t xml:space="preserve">3</m:t>
              </m:r>
              <m:r>
                <m:rPr>
                  <m:lit/>
                  <m:nor/>
                </m:rPr>
                <m:t xml:space="preserve">.</m:t>
              </m:r>
              <m:r>
                <m:rPr>
                  <m:lit/>
                  <m:nor/>
                </m:rPr>
                <m:t xml:space="preserve">681</m:t>
              </m:r>
              <m:r>
                <m:rPr>
                  <m:lit/>
                  <m:nor/>
                </m:rPr>
                <m:t xml:space="preserve">.</m:t>
              </m:r>
            </m:e>
          </m:eqArr>
        </m:oMath>
      </m:oMathPara>
    </w:p>
    <w:p>
      <w:pPr>
        <w:pStyle w:val="Normal"/>
        <w:jc w:val="both"/>
        <w:rPr>
          <w:color w:val="0000FF"/>
          <w:sz w:val="24"/>
        </w:rPr>
      </w:pPr>
      <w:r>
        <w:rPr>
          <w:color w:val="0000FF"/>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[END OF PANEL 7]</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[ADD TO APPENDIX B]</w:t>
      </w:r>
    </w:p>
    <w:p>
      <w:pPr>
        <w:pStyle w:val="Normal"/>
        <w:jc w:val="both"/>
        <w:rPr>
          <w:sz w:val="24"/>
        </w:rPr>
      </w:pPr>
      <w:r>
        <w:rPr>
          <w:sz w:val="24"/>
        </w:rPr>
      </w:r>
    </w:p>
    <w:p>
      <w:pPr>
        <w:pStyle w:val="Normal"/>
        <w:jc w:val="both"/>
        <w:rPr>
          <w:color w:val="0000FF"/>
          <w:sz w:val="24"/>
        </w:rPr>
      </w:pPr>
      <w:r>
        <w:rPr>
          <w:color w:val="0000FF"/>
          <w:sz w:val="24"/>
        </w:rPr>
        <w:t>A.5 Lookback Options</w:t>
      </w:r>
    </w:p>
    <w:p>
      <w:pPr>
        <w:pStyle w:val="Normal"/>
        <w:jc w:val="both"/>
        <w:rPr>
          <w:color w:val="0000FF"/>
          <w:sz w:val="24"/>
        </w:rPr>
      </w:pPr>
      <w:r>
        <w:rPr>
          <w:color w:val="0000FF"/>
          <w:sz w:val="24"/>
        </w:rPr>
        <w:t xml:space="preserve">The pricing and hedging of lookback options is explored by Garman (1989). Garman presents a replication strategy which consists of hedging a lookback call (put) using an option with a strike that is equal to the current minimum (maximum) price. At inception, this price is equal to the price of the underlying. When the underlying price establishes a new minimum (maximum), the option is sold and the proceeds are rolled into a new at-the-money contract. This roll results in a negative cash flow, since the new option is more expensive than the old one. This strategy, in the absence of transaction costs, will produce a payoff equal to that of the lookback option and therefore has the same value. At any point in time, the lookback option has a value that is equal to the current replicating option plus the option on the uncertain cash flows related to the replication strategy (which Garman calls a “strike-bonus option”). The value of the strike bonus option for a call, Csb, is given by </w:t>
      </w:r>
    </w:p>
    <w:p>
      <w:pPr>
        <w:pStyle w:val="Normal"/>
        <w:jc w:val="both"/>
        <w:rPr>
          <w:color w:val="0000FF"/>
          <w:sz w:val="24"/>
        </w:rPr>
      </w:pPr>
      <w:r>
        <w:rPr>
          <w:color w:val="0000FF"/>
          <w:sz w:val="24"/>
        </w:rPr>
        <w:t>[INSERT EQUATION 9 HERE]</w:t>
      </w:r>
    </w:p>
    <w:p>
      <w:pPr>
        <w:pStyle w:val="Normal"/>
        <w:jc w:val="both"/>
        <w:rPr>
          <w:color w:val="0000FF"/>
          <w:sz w:val="24"/>
        </w:rPr>
      </w:pPr>
      <w:r>
        <w:rPr>
          <w:color w:val="0000FF"/>
          <w:sz w:val="24"/>
        </w:rPr>
      </w:r>
    </w:p>
    <w:p>
      <w:pPr>
        <w:pStyle w:val="Normal"/>
        <w:jc w:val="both"/>
        <w:rPr>
          <w:color w:val="0000FF"/>
          <w:sz w:val="24"/>
        </w:rPr>
      </w:pPr>
      <w:r>
        <w:rPr>
          <w:color w:val="0000FF"/>
          <w:sz w:val="24"/>
        </w:rPr>
        <w:t>min(F) = minimum price attained to date during the life of the option, and N´ denotes normal density function. Similarly, the strike bonus component of a lookback put is given by</w:t>
      </w:r>
    </w:p>
    <w:p>
      <w:pPr>
        <w:pStyle w:val="Normal"/>
        <w:jc w:val="both"/>
        <w:rPr>
          <w:color w:val="0000FF"/>
          <w:sz w:val="24"/>
        </w:rPr>
      </w:pPr>
      <w:r>
        <w:rPr>
          <w:color w:val="0000FF"/>
          <w:sz w:val="24"/>
        </w:rPr>
        <w:t>[INSERT EQUATION 10 HERE]</w:t>
      </w:r>
    </w:p>
    <w:p>
      <w:pPr>
        <w:pStyle w:val="Normal"/>
        <w:jc w:val="both"/>
        <w:rPr>
          <w:color w:val="0000FF"/>
          <w:sz w:val="24"/>
        </w:rPr>
      </w:pPr>
      <w:r>
        <w:rPr>
          <w:color w:val="0000FF"/>
          <w:sz w:val="24"/>
        </w:rPr>
      </w:r>
    </w:p>
    <w:p>
      <w:pPr>
        <w:pStyle w:val="Normal"/>
        <w:jc w:val="both"/>
        <w:rPr>
          <w:sz w:val="24"/>
        </w:rPr>
      </w:pPr>
      <w:r>
        <w:rPr>
          <w:color w:val="0000FF"/>
          <w:sz w:val="24"/>
        </w:rPr>
        <w:t>and max(F) = maximum price attained to date during the life of the option.</w:t>
        <w:tab/>
        <w:t xml:space="preserve">The formula above is the rule given by Garman (1989), modified for those cases in which the drift, m, is equal to 0. The other component of the lookback option price, in addition to Csb (Psb), is the price of an ordinary call (put) option struck at the minimum (maximum) price achieved over the life of the option. </w:t>
        <w:tab/>
        <w:t>This formula implicitly assumes that the sampling of the underlying price is continuous. In practice, price sampling is possible only at discrete time intervals, typically at the close of trading every day or on the publication dates of market newsletters. If this is the case, one can use the Monte Carlo approach or adjust the formula (9) or (10) for monitoring in discrete time.</w:t>
      </w:r>
    </w:p>
    <w:p>
      <w:pPr>
        <w:pStyle w:val="Normal"/>
        <w:rPr>
          <w:sz w:val="24"/>
        </w:rPr>
      </w:pPr>
      <w:r>
        <w:rPr>
          <w:sz w:val="24"/>
        </w:rPr>
      </w:r>
    </w:p>
    <w:p>
      <w:pPr>
        <w:pStyle w:val="Normal"/>
        <w:rPr/>
      </w:pPr>
      <w:r>
        <w:rPr/>
      </w:r>
    </w:p>
    <w:sectPr>
      <w:footerReference w:type="default" r:id="rId9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9">
              <wp:simplePos x="0" y="0"/>
              <wp:positionH relativeFrom="margin">
                <wp:align>center</wp:align>
              </wp:positionH>
              <wp:positionV relativeFrom="paragraph">
                <wp:posOffset>635</wp:posOffset>
              </wp:positionV>
              <wp:extent cx="153035" cy="177165"/>
              <wp:effectExtent l="0" t="0" r="0" b="0"/>
              <wp:wrapSquare wrapText="bothSides"/>
              <wp:docPr id="26"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color w:val="000000"/>
      <w:sz w:val="22"/>
    </w:rPr>
  </w:style>
  <w:style w:type="paragraph" w:styleId="Heading3">
    <w:name w:val="heading 3"/>
    <w:basedOn w:val="Normal"/>
    <w:next w:val="Normal"/>
    <w:qFormat/>
    <w:pPr>
      <w:keepNext w:val="true"/>
      <w:widowControl w:val="false"/>
      <w:numPr>
        <w:ilvl w:val="2"/>
        <w:numId w:val="1"/>
      </w:numPr>
      <w:pBdr>
        <w:left w:val="single" w:sz="18" w:space="4" w:color="000000"/>
      </w:pBdr>
      <w:jc w:val="both"/>
      <w:outlineLvl w:val="2"/>
    </w:pPr>
    <w:rPr>
      <w:b/>
      <w:color w:val="0000FF"/>
      <w:sz w:val="24"/>
      <w:lang w:val="en-GB"/>
    </w:rPr>
  </w:style>
  <w:style w:type="paragraph" w:styleId="Heading4">
    <w:name w:val="heading 4"/>
    <w:basedOn w:val="Normal"/>
    <w:next w:val="Normal"/>
    <w:qFormat/>
    <w:pPr>
      <w:keepNext w:val="true"/>
      <w:widowControl w:val="false"/>
      <w:numPr>
        <w:ilvl w:val="3"/>
        <w:numId w:val="1"/>
      </w:numPr>
      <w:jc w:val="both"/>
      <w:outlineLvl w:val="3"/>
    </w:pPr>
    <w:rPr>
      <w:b/>
      <w:color w:val="0000FF"/>
      <w:sz w:val="24"/>
      <w:lang w:val="en-GB"/>
    </w:rPr>
  </w:style>
  <w:style w:type="paragraph" w:styleId="Heading5">
    <w:name w:val="heading 5"/>
    <w:basedOn w:val="Normal"/>
    <w:next w:val="Normal"/>
    <w:qFormat/>
    <w:pPr>
      <w:keepNext w:val="true"/>
      <w:numPr>
        <w:ilvl w:val="4"/>
        <w:numId w:val="1"/>
      </w:numPr>
      <w:jc w:val="center"/>
      <w:outlineLvl w:val="4"/>
    </w:pPr>
    <w:rPr>
      <w:rFonts w:ascii="Arial" w:hAnsi="Arial" w:cs="Arial"/>
      <w:b/>
      <w:color w:val="000000"/>
      <w:sz w:val="18"/>
    </w:rPr>
  </w:style>
  <w:style w:type="paragraph" w:styleId="Heading6">
    <w:name w:val="heading 6"/>
    <w:basedOn w:val="Normal"/>
    <w:next w:val="Normal"/>
    <w:qFormat/>
    <w:pPr>
      <w:keepNext w:val="true"/>
      <w:widowControl w:val="false"/>
      <w:numPr>
        <w:ilvl w:val="5"/>
        <w:numId w:val="1"/>
      </w:numPr>
      <w:jc w:val="both"/>
      <w:outlineLvl w:val="5"/>
    </w:pPr>
    <w:rPr>
      <w:color w:val="FF00FF"/>
      <w:sz w:val="24"/>
      <w:lang w:val="en-GB"/>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jc w:val="end"/>
      <w:outlineLvl w:val="7"/>
    </w:pPr>
    <w:rPr>
      <w:rFonts w:ascii="Arial" w:hAnsi="Arial" w:cs="Arial"/>
      <w:b/>
      <w:color w:val="000000"/>
      <w:sz w:val="18"/>
    </w:rPr>
  </w:style>
  <w:style w:type="paragraph" w:styleId="Heading9">
    <w:name w:val="heading 9"/>
    <w:basedOn w:val="Normal"/>
    <w:next w:val="Normal"/>
    <w:qFormat/>
    <w:pPr>
      <w:keepNext w:val="true"/>
      <w:numPr>
        <w:ilvl w:val="8"/>
        <w:numId w:val="1"/>
      </w:numPr>
      <w:outlineLvl w:val="8"/>
    </w:pPr>
    <w:rPr>
      <w:rFonts w:ascii="Arial" w:hAnsi="Arial" w:cs="Arial"/>
      <w:b/>
      <w:color w:val="000000"/>
      <w:sz w:val="18"/>
    </w:rPr>
  </w:style>
  <w:style w:type="character" w:styleId="WW8Num1z0">
    <w:name w:val="WW8Num1z0"/>
    <w:qFormat/>
    <w:rPr/>
  </w:style>
  <w:style w:type="character" w:styleId="WW8Num2z0">
    <w:name w:val="WW8Num2z0"/>
    <w:qFormat/>
    <w:rPr>
      <w:color w:val="FF00FF"/>
    </w:rPr>
  </w:style>
  <w:style w:type="character" w:styleId="WW8Num3z0">
    <w:name w:val="WW8Num3z0"/>
    <w:qFormat/>
    <w:rPr>
      <w:color w:val="FF00FF"/>
    </w:rPr>
  </w:style>
  <w:style w:type="character" w:styleId="WW8Num4z0">
    <w:name w:val="WW8Num4z0"/>
    <w:qFormat/>
    <w:rPr>
      <w:color w:val="FF00FF"/>
    </w:rPr>
  </w:style>
  <w:style w:type="character" w:styleId="WW8Num5z0">
    <w:name w:val="WW8Num5z0"/>
    <w:qFormat/>
    <w:rPr/>
  </w:style>
  <w:style w:type="character" w:styleId="WW8Num8z0">
    <w:name w:val="WW8Num8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Tms Rmn" w:hAnsi="Tms Rmn" w:cs="Tms Rmn"/>
      <w:color w:val="0000FF"/>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ind w:firstLine="720" w:start="0" w:end="0"/>
    </w:pPr>
    <w:rPr>
      <w:rFonts w:ascii="Tms Rmn" w:hAnsi="Tms Rmn" w:cs="Tms Rmn"/>
      <w:lang w:val="en-GB"/>
    </w:rPr>
  </w:style>
  <w:style w:type="paragraph" w:styleId="BodyText2">
    <w:name w:val="Body Text 2"/>
    <w:basedOn w:val="Normal"/>
    <w:qFormat/>
    <w:pPr>
      <w:widowControl w:val="false"/>
      <w:ind w:firstLine="720" w:start="0" w:end="0"/>
    </w:pPr>
    <w:rPr>
      <w:rFonts w:ascii="Tms Rmn" w:hAnsi="Tms Rmn" w:cs="Tms Rmn"/>
      <w:color w:val="0000FF"/>
      <w:lang w:val="en-GB"/>
    </w:rPr>
  </w:style>
  <w:style w:type="paragraph" w:styleId="EndnoteText">
    <w:name w:val="endnote text"/>
    <w:basedOn w:val="Normal"/>
    <w:pPr/>
    <w:rPr/>
  </w:style>
  <w:style w:type="paragraph" w:styleId="BodyText3">
    <w:name w:val="Body Text 3"/>
    <w:basedOn w:val="Normal"/>
    <w:qFormat/>
    <w:pPr>
      <w:widowControl w:val="false"/>
      <w:jc w:val="both"/>
    </w:pPr>
    <w:rPr>
      <w:rFonts w:ascii="Tms Rmn" w:hAnsi="Tms Rmn" w:cs="Tms Rmn"/>
      <w:i/>
      <w:color w:val="0000FF"/>
      <w:lang w:val="en-GB"/>
    </w:rPr>
  </w:style>
  <w:style w:type="paragraph" w:styleId="WW-BodyText2">
    <w:name w:val="WW-Body Text 2"/>
    <w:basedOn w:val="Normal"/>
    <w:qFormat/>
    <w:pPr>
      <w:widowControl w:val="false"/>
    </w:pPr>
    <w:rPr>
      <w:rFonts w:ascii="Tms Rmn" w:hAnsi="Tms Rmn" w:cs="Tms Rmn"/>
      <w:sz w:val="22"/>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numPr>
        <w:ilvl w:val="0"/>
        <w:numId w:val="0"/>
      </w:numPr>
      <w:ind w:firstLine="720" w:start="0" w:end="0"/>
      <w:jc w:val="both"/>
    </w:pPr>
    <w:rPr>
      <w:color w:val="0000FF"/>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2.wmf"/><Relationship Id="rId12" Type="http://schemas.openxmlformats.org/officeDocument/2006/relationships/oleObject" Target="embeddings/oleObject6.bin"/><Relationship Id="rId13" Type="http://schemas.openxmlformats.org/officeDocument/2006/relationships/image" Target="media/image5.wmf"/><Relationship Id="rId14" Type="http://schemas.openxmlformats.org/officeDocument/2006/relationships/oleObject" Target="embeddings/oleObject7.bin"/><Relationship Id="rId15" Type="http://schemas.openxmlformats.org/officeDocument/2006/relationships/image" Target="media/image6.wmf"/><Relationship Id="rId16" Type="http://schemas.openxmlformats.org/officeDocument/2006/relationships/oleObject" Target="embeddings/oleObject8.bin"/><Relationship Id="rId17" Type="http://schemas.openxmlformats.org/officeDocument/2006/relationships/image" Target="media/image7.wmf"/><Relationship Id="rId18" Type="http://schemas.openxmlformats.org/officeDocument/2006/relationships/oleObject" Target="embeddings/oleObject9.bin"/><Relationship Id="rId19" Type="http://schemas.openxmlformats.org/officeDocument/2006/relationships/image" Target="media/image8.wmf"/><Relationship Id="rId20" Type="http://schemas.openxmlformats.org/officeDocument/2006/relationships/oleObject" Target="embeddings/oleObject10.bin"/><Relationship Id="rId21" Type="http://schemas.openxmlformats.org/officeDocument/2006/relationships/image" Target="media/image9.wmf"/><Relationship Id="rId22" Type="http://schemas.openxmlformats.org/officeDocument/2006/relationships/oleObject" Target="embeddings/oleObject11.bin"/><Relationship Id="rId23" Type="http://schemas.openxmlformats.org/officeDocument/2006/relationships/image" Target="media/image10.wmf"/><Relationship Id="rId24" Type="http://schemas.openxmlformats.org/officeDocument/2006/relationships/oleObject" Target="embeddings/oleObject12.bin"/><Relationship Id="rId25" Type="http://schemas.openxmlformats.org/officeDocument/2006/relationships/image" Target="media/image11.wmf"/><Relationship Id="rId26" Type="http://schemas.openxmlformats.org/officeDocument/2006/relationships/oleObject" Target="embeddings/oleObject13.bin"/><Relationship Id="rId27" Type="http://schemas.openxmlformats.org/officeDocument/2006/relationships/image" Target="media/image12.wmf"/><Relationship Id="rId28" Type="http://schemas.openxmlformats.org/officeDocument/2006/relationships/oleObject" Target="embeddings/oleObject14.bin"/><Relationship Id="rId29" Type="http://schemas.openxmlformats.org/officeDocument/2006/relationships/image" Target="media/image13.wmf"/><Relationship Id="rId30" Type="http://schemas.openxmlformats.org/officeDocument/2006/relationships/oleObject" Target="embeddings/oleObject15.bin"/><Relationship Id="rId31" Type="http://schemas.openxmlformats.org/officeDocument/2006/relationships/image" Target="media/image13.wmf"/><Relationship Id="rId32" Type="http://schemas.openxmlformats.org/officeDocument/2006/relationships/oleObject" Target="embeddings/oleObject16.bin"/><Relationship Id="rId33" Type="http://schemas.openxmlformats.org/officeDocument/2006/relationships/image" Target="media/image14.wmf"/><Relationship Id="rId34" Type="http://schemas.openxmlformats.org/officeDocument/2006/relationships/oleObject" Target="embeddings/oleObject17.bin"/><Relationship Id="rId35" Type="http://schemas.openxmlformats.org/officeDocument/2006/relationships/image" Target="media/image13.wmf"/><Relationship Id="rId36" Type="http://schemas.openxmlformats.org/officeDocument/2006/relationships/oleObject" Target="embeddings/oleObject18.bin"/><Relationship Id="rId37" Type="http://schemas.openxmlformats.org/officeDocument/2006/relationships/image" Target="media/image15.wmf"/><Relationship Id="rId38" Type="http://schemas.openxmlformats.org/officeDocument/2006/relationships/oleObject" Target="embeddings/oleObject19.bin"/><Relationship Id="rId39" Type="http://schemas.openxmlformats.org/officeDocument/2006/relationships/image" Target="media/image13.wmf"/><Relationship Id="rId40" Type="http://schemas.openxmlformats.org/officeDocument/2006/relationships/oleObject" Target="embeddings/oleObject20.bin"/><Relationship Id="rId41" Type="http://schemas.openxmlformats.org/officeDocument/2006/relationships/image" Target="media/image16.wmf"/><Relationship Id="rId42" Type="http://schemas.openxmlformats.org/officeDocument/2006/relationships/oleObject" Target="embeddings/oleObject21.bin"/><Relationship Id="rId43" Type="http://schemas.openxmlformats.org/officeDocument/2006/relationships/image" Target="media/image17.wmf"/><Relationship Id="rId44" Type="http://schemas.openxmlformats.org/officeDocument/2006/relationships/oleObject" Target="embeddings/oleObject22.bin"/><Relationship Id="rId45" Type="http://schemas.openxmlformats.org/officeDocument/2006/relationships/image" Target="media/image18.wmf"/><Relationship Id="rId46" Type="http://schemas.openxmlformats.org/officeDocument/2006/relationships/oleObject" Target="embeddings/oleObject23.bin"/><Relationship Id="rId47" Type="http://schemas.openxmlformats.org/officeDocument/2006/relationships/image" Target="media/image13.wmf"/><Relationship Id="rId48" Type="http://schemas.openxmlformats.org/officeDocument/2006/relationships/oleObject" Target="embeddings/oleObject24.bin"/><Relationship Id="rId49" Type="http://schemas.openxmlformats.org/officeDocument/2006/relationships/image" Target="media/image19.wmf"/><Relationship Id="rId50" Type="http://schemas.openxmlformats.org/officeDocument/2006/relationships/oleObject" Target="embeddings/oleObject25.bin"/><Relationship Id="rId51" Type="http://schemas.openxmlformats.org/officeDocument/2006/relationships/image" Target="media/image20.wmf"/><Relationship Id="rId52" Type="http://schemas.openxmlformats.org/officeDocument/2006/relationships/oleObject" Target="embeddings/oleObject26.bin"/><Relationship Id="rId53" Type="http://schemas.openxmlformats.org/officeDocument/2006/relationships/image" Target="media/image13.wmf"/><Relationship Id="rId54" Type="http://schemas.openxmlformats.org/officeDocument/2006/relationships/oleObject" Target="embeddings/oleObject27.bin"/><Relationship Id="rId55" Type="http://schemas.openxmlformats.org/officeDocument/2006/relationships/image" Target="media/image21.wmf"/><Relationship Id="rId56" Type="http://schemas.openxmlformats.org/officeDocument/2006/relationships/oleObject" Target="embeddings/oleObject28.bin"/><Relationship Id="rId57" Type="http://schemas.openxmlformats.org/officeDocument/2006/relationships/image" Target="media/image22.wmf"/><Relationship Id="rId58" Type="http://schemas.openxmlformats.org/officeDocument/2006/relationships/oleObject" Target="embeddings/oleObject29.bin"/><Relationship Id="rId59" Type="http://schemas.openxmlformats.org/officeDocument/2006/relationships/image" Target="media/image23.wmf"/><Relationship Id="rId60" Type="http://schemas.openxmlformats.org/officeDocument/2006/relationships/oleObject" Target="embeddings/oleObject30.bin"/><Relationship Id="rId61" Type="http://schemas.openxmlformats.org/officeDocument/2006/relationships/image" Target="media/image24.wmf"/><Relationship Id="rId62" Type="http://schemas.openxmlformats.org/officeDocument/2006/relationships/oleObject" Target="embeddings/oleObject31.bin"/><Relationship Id="rId63" Type="http://schemas.openxmlformats.org/officeDocument/2006/relationships/image" Target="media/image25.wmf"/><Relationship Id="rId64" Type="http://schemas.openxmlformats.org/officeDocument/2006/relationships/oleObject" Target="embeddings/oleObject32.bin"/><Relationship Id="rId65" Type="http://schemas.openxmlformats.org/officeDocument/2006/relationships/image" Target="media/image26.wmf"/><Relationship Id="rId66" Type="http://schemas.openxmlformats.org/officeDocument/2006/relationships/oleObject" Target="embeddings/oleObject33.bin"/><Relationship Id="rId67" Type="http://schemas.openxmlformats.org/officeDocument/2006/relationships/image" Target="media/image27.wmf"/><Relationship Id="rId68" Type="http://schemas.openxmlformats.org/officeDocument/2006/relationships/oleObject" Target="embeddings/oleObject34.bin"/><Relationship Id="rId69" Type="http://schemas.openxmlformats.org/officeDocument/2006/relationships/image" Target="media/image28.wmf"/><Relationship Id="rId70" Type="http://schemas.openxmlformats.org/officeDocument/2006/relationships/oleObject" Target="embeddings/oleObject35.bin"/><Relationship Id="rId71" Type="http://schemas.openxmlformats.org/officeDocument/2006/relationships/image" Target="media/image29.wmf"/><Relationship Id="rId72" Type="http://schemas.openxmlformats.org/officeDocument/2006/relationships/oleObject" Target="embeddings/oleObject36.bin"/><Relationship Id="rId73" Type="http://schemas.openxmlformats.org/officeDocument/2006/relationships/image" Target="media/image13.wmf"/><Relationship Id="rId74" Type="http://schemas.openxmlformats.org/officeDocument/2006/relationships/oleObject" Target="embeddings/oleObject37.bin"/><Relationship Id="rId75" Type="http://schemas.openxmlformats.org/officeDocument/2006/relationships/image" Target="media/image30.wmf"/><Relationship Id="rId76" Type="http://schemas.openxmlformats.org/officeDocument/2006/relationships/oleObject" Target="embeddings/oleObject38.bin"/><Relationship Id="rId77" Type="http://schemas.openxmlformats.org/officeDocument/2006/relationships/image" Target="media/image31.wmf"/><Relationship Id="rId78" Type="http://schemas.openxmlformats.org/officeDocument/2006/relationships/oleObject" Target="embeddings/oleObject39.bin"/><Relationship Id="rId79" Type="http://schemas.openxmlformats.org/officeDocument/2006/relationships/image" Target="media/image32.wmf"/><Relationship Id="rId80" Type="http://schemas.openxmlformats.org/officeDocument/2006/relationships/oleObject" Target="embeddings/oleObject40.bin"/><Relationship Id="rId81" Type="http://schemas.openxmlformats.org/officeDocument/2006/relationships/image" Target="media/image33.wmf"/><Relationship Id="rId82" Type="http://schemas.openxmlformats.org/officeDocument/2006/relationships/oleObject" Target="embeddings/oleObject41.bin"/><Relationship Id="rId83" Type="http://schemas.openxmlformats.org/officeDocument/2006/relationships/image" Target="media/image34.wmf"/><Relationship Id="rId84" Type="http://schemas.openxmlformats.org/officeDocument/2006/relationships/oleObject" Target="embeddings/oleObject42.bin"/><Relationship Id="rId85" Type="http://schemas.openxmlformats.org/officeDocument/2006/relationships/image" Target="media/image35.wmf"/><Relationship Id="rId86" Type="http://schemas.openxmlformats.org/officeDocument/2006/relationships/oleObject" Target="embeddings/oleObject43.bin"/><Relationship Id="rId87" Type="http://schemas.openxmlformats.org/officeDocument/2006/relationships/image" Target="media/image36.wmf"/><Relationship Id="rId88" Type="http://schemas.openxmlformats.org/officeDocument/2006/relationships/oleObject" Target="embeddings/oleObject44.bin"/><Relationship Id="rId89" Type="http://schemas.openxmlformats.org/officeDocument/2006/relationships/image" Target="media/image37.wmf"/><Relationship Id="rId90" Type="http://schemas.openxmlformats.org/officeDocument/2006/relationships/oleObject" Target="embeddings/oleObject45.bin"/><Relationship Id="rId91" Type="http://schemas.openxmlformats.org/officeDocument/2006/relationships/image" Target="media/image38.wmf"/><Relationship Id="rId92" Type="http://schemas.openxmlformats.org/officeDocument/2006/relationships/oleObject" Target="embeddings/oleObject46.bin"/><Relationship Id="rId93" Type="http://schemas.openxmlformats.org/officeDocument/2006/relationships/image" Target="media/image39.wmf"/><Relationship Id="rId94" Type="http://schemas.openxmlformats.org/officeDocument/2006/relationships/footer" Target="footer1.xml"/><Relationship Id="rId95" Type="http://schemas.openxmlformats.org/officeDocument/2006/relationships/numbering" Target="numbering.xml"/><Relationship Id="rId96" Type="http://schemas.openxmlformats.org/officeDocument/2006/relationships/fontTable" Target="fontTable.xml"/><Relationship Id="rId97" Type="http://schemas.openxmlformats.org/officeDocument/2006/relationships/settings" Target="settings.xml"/><Relationship Id="rId9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1999-05-24T11:04:00Z</dcterms:created>
  <dc:creator>vkamins</dc:creator>
  <dc:description/>
  <dc:language>en-CA</dc:language>
  <cp:lastModifiedBy>vkamins</cp:lastModifiedBy>
  <cp:lastPrinted>1999-05-24T18:04:00Z</cp:lastPrinted>
  <dcterms:modified xsi:type="dcterms:W3CDTF">1999-05-25T19:00:00Z</dcterms:modified>
  <cp:revision>67</cp:revision>
  <dc:subject/>
  <dc:title>7</dc:title>
</cp:coreProperties>
</file>