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VC0975.1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as amended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Terms used but not otherwised defined herein shall have the meanings given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$4.25500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average of the daily settlement prices for the last three (3) scheduled Trading Days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if by 5:00 p.m. on June 15, 2001, as such date may be mutually amended (the “Closing Time”), KCS Resources, Inc. and ENA, or their designees, have not executed definitive agreements for the purchase and sale of a term overriding royalty (the “ORRI”) in accordance with the terms and conditions of the Letter of Understanding dated May 23, 2001 executed by KCS Resources, Inc. and ENA (the “LOU”), which Letter of Understanding is incorporated by reference herein, then ENA shall have the unilateral right to terminate this Transaction and ENA Commodity Swap VC0917.1 (collectively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Within two (2) Business Days following the Closing Time, ENA shall notify Counterparty of its intention to terminate this Transaction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Collateral Annex.</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Exposure Threshold” shall mean, with respect to (i) ENA, none,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w:t>
      </w:r>
      <w:r>
        <w:rPr/>
        <w:t xml:space="preserve"> </w:t>
      </w:r>
    </w:p>
    <w:p>
      <w:pPr>
        <w:pStyle w:val="Normal"/>
        <w:rPr/>
      </w:pPr>
      <w:r>
        <w:rPr/>
      </w:r>
    </w:p>
    <w:p>
      <w:pPr>
        <w:pStyle w:val="Normal"/>
        <w:numPr>
          <w:ilvl w:val="0"/>
          <w:numId w:val="2"/>
        </w:numPr>
        <w:rPr/>
      </w:pPr>
      <w:r>
        <w:rPr/>
        <w:t>Consent of KCS Resources, Inc.</w:t>
      </w:r>
    </w:p>
    <w:p>
      <w:pPr>
        <w:pStyle w:val="Normal"/>
        <w:rPr/>
      </w:pPr>
      <w:r>
        <w:rPr/>
      </w:r>
    </w:p>
    <w:p>
      <w:pPr>
        <w:pStyle w:val="Normal"/>
        <w:rPr/>
      </w:pPr>
      <w:r>
        <w:rPr/>
        <w:t xml:space="preserve">If KCS Resources, Inc. and ENA or their designees have not executed definitive agreements for the purchase and sale of the ORRI by the Closing Time, then ENA, Counterparty, and KCS Resources, Inc. hereby agree that (i) the second and third sentences of Paragraph 4 of the LOU shall be deleted therefrom and (ii) Paragraph (1)(b) of this Confirmation shall be the only provision that governs settlement for the termination of the Two Transactions.  KCS Resources, Inc. appears herein and has executed this Confirmation for the sole purpose of signifying its consent to the provisions of this Paragraph (3) of the Confirmation.  </w:t>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Joe Hunter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KCS Resources, Inc., appearing for the purpose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Acknowledging its consent to Paragraph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By: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Name: 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Title: _____________________________</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       </w:t>
      </w:r>
      <w:r>
        <w:rPr>
          <w:rFonts w:cs="Times New Roman" w:ascii="Times New Roman" w:hAnsi="Times New Roman"/>
        </w:rPr>
        <w:t>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VC0975.1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MMBtu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Determination                   Per Determination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MMBtu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326,052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306,591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289,397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249,294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226,511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236,194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242,991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247,898</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229,967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198,465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190,185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167,029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168,770</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166,924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160,367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164,722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168,091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196,952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204,607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194,522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186,349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160,801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156,149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135,536</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2001-06-04T17:42:00Z</dcterms:created>
  <dc:creator>ECT</dc:creator>
  <dc:description/>
  <dc:language>en-CA</dc:language>
  <cp:lastModifiedBy>danders2</cp:lastModifiedBy>
  <dcterms:modified xsi:type="dcterms:W3CDTF">2001-06-04T17:42:00Z</dcterms:modified>
  <cp:revision>2</cp:revision>
  <dc:subject>KCS Energy Marketing Inc.</dc:subject>
  <dc:title>VC0975.1</dc:title>
</cp:coreProperties>
</file>