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bCs/>
          <w:sz w:val="28"/>
          <w:szCs w:val="28"/>
        </w:rPr>
      </w:pPr>
      <w:r>
        <w:rPr>
          <w:b/>
          <w:bCs/>
          <w:sz w:val="28"/>
          <w:szCs w:val="28"/>
        </w:rPr>
        <w:t>UNITED STATES OF AMERICA</w:t>
      </w:r>
      <w:r>
        <mc:AlternateContent>
          <mc:Choice Requires="wps">
            <w:drawing>
              <wp:anchor behindDoc="1" distT="0" distB="0" distL="114935" distR="114935" simplePos="0" locked="0" layoutInCell="0" allowOverlap="1" relativeHeight="8">
                <wp:simplePos x="0" y="0"/>
                <wp:positionH relativeFrom="margin">
                  <wp:posOffset>-685800</wp:posOffset>
                </wp:positionH>
                <wp:positionV relativeFrom="paragraph">
                  <wp:posOffset>635</wp:posOffset>
                </wp:positionV>
                <wp:extent cx="146050" cy="146050"/>
                <wp:effectExtent l="0" t="0" r="0" b="0"/>
                <wp:wrapNone/>
                <wp:docPr id="1" name="Frame1"/>
                <a:graphic xmlns:a="http://schemas.openxmlformats.org/drawingml/2006/main">
                  <a:graphicData uri="http://schemas.microsoft.com/office/word/2010/wordprocessingShape">
                    <wps:wsp>
                      <wps:cNvSpPr txBox="1"/>
                      <wps:spPr>
                        <a:xfrm>
                          <a:off x="0" y="0"/>
                          <a:ext cx="146050" cy="146050"/>
                        </a:xfrm>
                        <a:prstGeom prst="rect"/>
                        <a:solidFill>
                          <a:srgbClr val="FFFFFF">
                            <a:alpha val="0"/>
                          </a:srgbClr>
                        </a:solidFill>
                      </wps:spPr>
                      <wps:txbx>
                        <w:txbxContent>
                          <w:p>
                            <w:pPr>
                              <w:pStyle w:val="Normal"/>
                              <w:pBdr>
                                <w:top w:val="single" w:sz="6" w:space="0" w:color="FFFFFF"/>
                                <w:left w:val="single" w:sz="6" w:space="0" w:color="FFFFFF"/>
                                <w:bottom w:val="single" w:sz="6" w:space="0" w:color="FFFFFF"/>
                                <w:right w:val="single" w:sz="6" w:space="0" w:color="FFFFFF"/>
                              </w:pBdr>
                              <w:rPr>
                                <w:sz w:val="24"/>
                              </w:rPr>
                            </w:pPr>
                            <w:r>
                              <w:rPr>
                                <w:sz w:val="24"/>
                              </w:rPr>
                              <w:drawing>
                                <wp:inline distT="0" distB="0" distL="0" distR="0">
                                  <wp:extent cx="146050" cy="14605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228" t="-3228" r="-3228" b="-3228"/>
                                          <a:stretch>
                                            <a:fillRect/>
                                          </a:stretch>
                                        </pic:blipFill>
                                        <pic:spPr bwMode="auto">
                                          <a:xfrm>
                                            <a:off x="0" y="0"/>
                                            <a:ext cx="146050" cy="14605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11.5pt;height:11.5pt;mso-wrap-distance-left:9.05pt;mso-wrap-distance-right:9.05pt;mso-wrap-distance-top:0pt;mso-wrap-distance-bottom:0pt;margin-top:0pt;mso-position-vertical-relative:text;margin-left:-54pt;mso-position-horizontal-relative:margin">
                <v:fill opacity="0f"/>
                <v:textbox inset="0.000694444444444445in,0.000694444444444445in,0.000694444444444445in,0.000694444444444445in">
                  <w:txbxContent>
                    <w:p>
                      <w:pPr>
                        <w:pStyle w:val="Normal"/>
                        <w:pBdr>
                          <w:top w:val="single" w:sz="6" w:space="0" w:color="FFFFFF"/>
                          <w:left w:val="single" w:sz="6" w:space="0" w:color="FFFFFF"/>
                          <w:bottom w:val="single" w:sz="6" w:space="0" w:color="FFFFFF"/>
                          <w:right w:val="single" w:sz="6" w:space="0" w:color="FFFFFF"/>
                        </w:pBdr>
                        <w:rPr>
                          <w:sz w:val="24"/>
                        </w:rPr>
                      </w:pPr>
                      <w:r>
                        <w:rPr>
                          <w:sz w:val="24"/>
                        </w:rPr>
                        <w:drawing>
                          <wp:inline distT="0" distB="0" distL="0" distR="0">
                            <wp:extent cx="146050" cy="14605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3228" t="-3228" r="-3228" b="-3228"/>
                                    <a:stretch>
                                      <a:fillRect/>
                                    </a:stretch>
                                  </pic:blipFill>
                                  <pic:spPr bwMode="auto">
                                    <a:xfrm>
                                      <a:off x="0" y="0"/>
                                      <a:ext cx="146050" cy="146050"/>
                                    </a:xfrm>
                                    <a:prstGeom prst="rect">
                                      <a:avLst/>
                                    </a:prstGeom>
                                    <a:noFill/>
                                  </pic:spPr>
                                </pic:pic>
                              </a:graphicData>
                            </a:graphic>
                          </wp:inline>
                        </w:drawing>
                      </w:r>
                    </w:p>
                  </w:txbxContent>
                </v:textbox>
                <w10:wrap type="none"/>
              </v:rect>
            </w:pict>
          </mc:Fallback>
        </mc:AlternateContent>
      </w:r>
    </w:p>
    <w:p>
      <w:pPr>
        <w:pStyle w:val="Cente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8"/>
          <w:szCs w:val="28"/>
        </w:rPr>
      </w:pPr>
      <w:r>
        <w:rPr>
          <w:rFonts w:cs="Times New Roman" w:ascii="Times New Roman" w:hAnsi="Times New Roman"/>
          <w:sz w:val="28"/>
          <w:szCs w:val="28"/>
        </w:rPr>
        <w:t>BEFORE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8"/>
          <w:szCs w:val="28"/>
        </w:rPr>
      </w:pPr>
      <w:r>
        <w:rPr>
          <w:b/>
          <w:bCs/>
          <w:sz w:val="28"/>
          <w:szCs w:val="28"/>
        </w:rPr>
        <w:t>FEDERAL ENERGY REGULATORY COMMISSION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8"/>
          <w:szCs w:val="28"/>
        </w:rPr>
      </w:pPr>
      <w:r>
        <w:rPr>
          <w:sz w:val="28"/>
          <w:szCs w:val="28"/>
        </w:rPr>
      </w:r>
    </w:p>
    <w:tbl>
      <w:tblPr>
        <w:tblW w:w="9576" w:type="dxa"/>
        <w:jc w:val="start"/>
        <w:tblInd w:w="108" w:type="dxa"/>
        <w:tblLayout w:type="fixed"/>
        <w:tblCellMar>
          <w:top w:w="0" w:type="dxa"/>
          <w:start w:w="108" w:type="dxa"/>
          <w:bottom w:w="0" w:type="dxa"/>
          <w:end w:w="108" w:type="dxa"/>
        </w:tblCellMar>
      </w:tblPr>
      <w:tblGrid>
        <w:gridCol w:w="4248"/>
        <w:gridCol w:w="1530"/>
        <w:gridCol w:w="3798"/>
      </w:tblGrid>
      <w:tr>
        <w:trPr/>
        <w:tc>
          <w:tcPr>
            <w:tcW w:w="424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San Diego Gas &amp; Electric,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 xml:space="preserve">            </w:t>
            </w:r>
            <w:r>
              <w:rPr>
                <w:b/>
                <w:bCs/>
                <w:sz w:val="24"/>
              </w:rPr>
              <w:t>Complainant,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 xml:space="preserve">         </w:t>
            </w:r>
            <w:r>
              <w:rPr>
                <w:b/>
                <w:bCs/>
                <w:sz w:val="24"/>
              </w:rPr>
              <w:t>v.</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Sellers of Energy and Ancillary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Services into Markets Operated by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California Independent System Operator and the California Power Exchange,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 xml:space="preserve">            </w:t>
            </w:r>
            <w:r>
              <w:rPr>
                <w:b/>
                <w:bCs/>
                <w:sz w:val="24"/>
              </w:rPr>
              <w:t xml:space="preserve">Respondents.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b/>
                <w:bCs/>
                <w:sz w:val="24"/>
              </w:rPr>
            </w:pPr>
            <w:r>
              <w:rPr>
                <w:b/>
                <w:bCs/>
                <w:sz w:val="24"/>
              </w:rPr>
            </w:r>
          </w:p>
        </w:tc>
        <w:tc>
          <w:tcPr>
            <w:tcW w:w="1530"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center"/>
              <w:rPr>
                <w:b/>
                <w:bCs/>
                <w:sz w:val="24"/>
              </w:rPr>
            </w:pPr>
            <w:r>
              <w:rPr>
                <w:b/>
                <w:bCs/>
                <w:sz w:val="24"/>
              </w:rPr>
              <w:t>)</w:t>
            </w:r>
          </w:p>
        </w:tc>
        <w:tc>
          <w:tcPr>
            <w:tcW w:w="379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center"/>
              <w:rPr>
                <w:sz w:val="24"/>
              </w:rPr>
            </w:pPr>
            <w:r>
              <w:rPr>
                <w:b/>
                <w:bCs/>
                <w:sz w:val="24"/>
              </w:rPr>
              <w:t>Docket No. EL00-95-000</w:t>
            </w:r>
          </w:p>
        </w:tc>
      </w:tr>
    </w:tbl>
    <w:p>
      <w:pPr>
        <w:pStyle w:val="TitleStyl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8"/>
          <w:szCs w:val="28"/>
        </w:rPr>
      </w:pPr>
      <w:r>
        <w:rPr>
          <w:rFonts w:cs="Times New Roman" w:ascii="Times New Roman" w:hAnsi="Times New Roman"/>
          <w:sz w:val="28"/>
          <w:szCs w:val="28"/>
        </w:rPr>
        <w:t xml:space="preserve">PRELIMINARY COMMENTS OF </w:t>
      </w:r>
    </w:p>
    <w:p>
      <w:pPr>
        <w:pStyle w:val="Heading1"/>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jc w:val="center"/>
        <w:rPr>
          <w:sz w:val="28"/>
          <w:szCs w:val="28"/>
        </w:rPr>
      </w:pPr>
      <w:r>
        <w:rPr>
          <w:sz w:val="28"/>
          <w:szCs w:val="28"/>
        </w:rPr>
        <w:t xml:space="preserve">ENRON POWER MARKETING, INC. AND </w:t>
      </w:r>
    </w:p>
    <w:p>
      <w:pPr>
        <w:pStyle w:val="Heading1"/>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jc w:val="center"/>
        <w:rPr>
          <w:sz w:val="28"/>
          <w:szCs w:val="28"/>
        </w:rPr>
      </w:pPr>
      <w:r>
        <w:rPr>
          <w:sz w:val="28"/>
          <w:szCs w:val="28"/>
        </w:rPr>
        <w:t>ENRON ENERGY SERVICES</w:t>
      </w:r>
    </w:p>
    <w:p>
      <w:pPr>
        <w:pStyle w:val="Heading1"/>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jc w:val="center"/>
        <w:rPr>
          <w:sz w:val="28"/>
          <w:szCs w:val="28"/>
        </w:rPr>
      </w:pPr>
      <w:r>
        <w:rPr>
          <w:sz w:val="28"/>
          <w:szCs w:val="28"/>
        </w:rPr>
        <w:t>ON CHIEF JUDGE WAGNER’S</w:t>
      </w:r>
    </w:p>
    <w:p>
      <w:pPr>
        <w:pStyle w:val="BodyText3"/>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PROPOSED RECOMMENDATION ON</w:t>
      </w:r>
    </w:p>
    <w:p>
      <w:pPr>
        <w:pStyle w:val="BodyText3"/>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SETTLEMENT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sz w:val="24"/>
        </w:rPr>
      </w:pPr>
      <w:r>
        <w:rPr>
          <w:sz w:val="24"/>
        </w:rPr>
        <w:t xml:space="preserve">Pursuant to Chief Judge Wagner’s offer to provide comments on the Judge’s proposed  refund methodology, Enron Power Marketing, Inc. (“EPMI”) and Enron Energy Services (“EES”), (jointly “Enron”) provide the following preliminary comments, which Enron will supplement with a more detailed filing by July 12, 2001: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b/>
          <w:bCs/>
          <w:i/>
          <w:i/>
          <w:iCs/>
          <w:sz w:val="24"/>
        </w:rPr>
      </w:pPr>
      <w:r>
        <w:rPr>
          <w:b/>
          <w:bCs/>
          <w:i/>
          <w:iCs/>
          <w:sz w:val="24"/>
        </w:rPr>
        <w:t>Background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b/>
          <w:bCs/>
          <w:i/>
          <w:iCs/>
          <w:sz w:val="24"/>
        </w:rPr>
        <w:tab/>
        <w:t xml:space="preserve"> </w:t>
      </w:r>
      <w:r>
        <w:rPr>
          <w:sz w:val="24"/>
        </w:rPr>
        <w:t xml:space="preserve">In oral comments made at the conclusion of the July 9 settlement proceeding, the Chief Judge stated that he intends to recommend to the Commission that it use retroactively what is essentially the methodology for prospective pricing set forth in the Commission’s June 19 order in this proceeding.  Overall, the Judge proposes that the Commission retroactively employ the hourly heat rates of the actual units dispatched and other cost components to arrive at hourly proxy prices for spot market electricity purchases from October 2, 2000 forward.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sz w:val="24"/>
        </w:rPr>
      </w:pPr>
      <w:r>
        <w:rPr>
          <w:sz w:val="24"/>
        </w:rPr>
        <w:t>As a preliminary matter, Enron believes that refunds are not due in the absence of specific findings of illegal conduct by individual participants, and Enron opposes the retroactive application of the June 19 order methodology.  If the Commission had implemented this methodology on October 2, marketers such as Enron would have been on notice as to the application of the method and could have come to an informed decision as to whether or not to participate in this market.  However, by deciding on July 9 to apply this formula to all spot market sales in California, the Judge is imposing on all marketers a pricing methodology that was not foreseeable and could not be factored into the commercial decisions that were made at the time.   Such a retroactive rule change is unfair, not to mention destructive to commercial markets, and adds to the uncertainty already existing in California.  Thus, this action is patently incorrect and will exacerbate problems being experienced by California and other western states.  Furthermore, to the extent that marketers’ sales in the spot market from October 2 to June 19 exceeded this newly defined price cap, marketers will be subject to potential refund exposure, without the ability to justify their bids that exceed the price cap.  As will be discussed in more detail in Enron’s July 12 comments, California must take responsibility for the dysfunctional spot market, and has further exacerbated the problem by ignoring Commission orders.  Many marketers, such as Enron, were price takers in the market and incapable of exercising market power.  Refund obligations under these circumstances would be especially egregious.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b/>
          <w:bCs/>
          <w:i/>
          <w:i/>
          <w:iCs/>
          <w:sz w:val="24"/>
        </w:rPr>
      </w:pPr>
      <w:r>
        <w:rPr>
          <w:b/>
          <w:bCs/>
          <w:i/>
          <w:iCs/>
          <w:sz w:val="24"/>
        </w:rPr>
        <w:t>A Just and Reasonable Finding Must be Made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sz w:val="24"/>
        </w:rPr>
      </w:pPr>
      <w:r>
        <w:rPr>
          <w:sz w:val="24"/>
        </w:rPr>
        <w:t>While Enron opposes the Chief Judge’s proposal to implement this methodology, if the Chief Judge does make this recommendation to the Commission, the recommendation must be made in conjunction with the following findings.  First, by virtue of making a determination that refunds are due only from October 2 forward, the Judge in essence is finding that all rates charged prior to this time are not subject to refund.  Consequently, the Chief Judge should urge the Commission that it explicitly state in its order that these prior rates, which are within the Commission’s exclusive jurisdiction, are just and reasonable and are not subject to refund.  Second, in recommending that the June 19 methodology be used for all spot market sales from October 2, the Judge should explicitly specify to the Commission that the new rates that result from the application of the this methodology are just and reasonable and will not be subject to further refund liability for this period.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jc w:val="both"/>
        <w:rPr/>
      </w:pPr>
      <w:r>
        <w:rPr>
          <w:b/>
          <w:bCs/>
          <w:i/>
          <w:iCs/>
          <w:sz w:val="24"/>
        </w:rPr>
        <w:t>All Buyers Must Get Refunds</w:t>
      </w:r>
      <w:r>
        <w:rPr>
          <w:b/>
          <w:bCs/>
          <w:sz w:val="24"/>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rPr/>
      </w:pPr>
      <w:r>
        <w:rPr>
          <w:b/>
          <w:bCs/>
          <w:sz w:val="24"/>
        </w:rPr>
        <w:tab/>
      </w:r>
      <w:r>
        <w:rPr>
          <w:sz w:val="24"/>
        </w:rPr>
        <w:t>In addition, if refunds are to be ordered (and Enron continues to believe that refunds are not due in the absence of specific findings of illegal conduct by individual participants), then all buyers from the CAISO and CalPX markets (which includes Enron and some other suppliers) must receive their rightful share of the ordered refunds.  California assumes that it is the sole buyer, but that is far from the truth.  Enron has been a net buyer to fulfill its obligations as a California registered Electric Service Provider (“ESP”).   As such, Enron is entitled to refunds under the Chief Judge’s proposed refund methodology.  The Chief Judge’s recommendation to the Commission should specify that refunds must be provided to the actual buyers and not solely to the state of California or its three investor owned utilities.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pPr>
      <w:r>
        <w:rPr>
          <w:b/>
          <w:bCs/>
          <w:i/>
          <w:iCs/>
          <w:sz w:val="24"/>
        </w:rPr>
        <w:t>Transactions that are Affected</w:t>
      </w:r>
      <w:r>
        <w:rPr>
          <w:b/>
          <w:bCs/>
          <w:sz w:val="24"/>
        </w:rPr>
        <w:t xml:space="preserve"> </w:t>
      </w:r>
      <w:r>
        <w:rPr>
          <w:b/>
          <w:bCs/>
          <w:i/>
          <w:iCs/>
          <w:sz w:val="24"/>
        </w:rPr>
        <w:t>By the Recommendation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b/>
          <w:bCs/>
          <w:sz w:val="24"/>
        </w:rPr>
        <w:tab/>
      </w:r>
      <w:r>
        <w:rPr>
          <w:sz w:val="24"/>
        </w:rPr>
        <w:t xml:space="preserve">In recommending to the Commission that the June 19 refund methodology be used, the Chief Judge should explicitly state that this methodology applies only to sales made through the state’s two administered centralized clearinghouse markets, the CAISO and Cal PX.  The spot markets are the only markets which the Commission has determined are flawed, not the bilateral market.  The recommendation must therefore exclude all sales other than those sales made in the CAISO’s administered centralized clearinghouse markets, such as i) bilateral sales contracts, ii) sales to the DWR that were not made through the CAISO’s administered centralized clearinghouse markets, and iii) sales to the CAISO through Out-of-Market (“OOM”) transactions.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rPr/>
      </w:pPr>
      <w:r>
        <w:rPr>
          <w:sz w:val="24"/>
        </w:rPr>
        <w:t xml:space="preserve">Exclusion of these types of transactions is in keeping with the intent of the Commission’s June 19 order. As the Commission recognized, it is important to limit the application of the price mitigation to the spot markets because it is during these times that “supply is scarce relative to demand” and sellers may be able to dictate price.  </w:t>
      </w:r>
      <w:r>
        <w:rPr>
          <w:i/>
          <w:iCs/>
          <w:sz w:val="24"/>
        </w:rPr>
        <w:t xml:space="preserve">June 19 order at pg. 4.  </w:t>
      </w:r>
      <w:r>
        <w:rPr>
          <w:sz w:val="24"/>
        </w:rPr>
        <w:t xml:space="preserve">The Commission explicitly stated that its price mitigation methodology should not apply to the bilateral markets because the investigation that started this proceeding was limited only to the CAISO and CalPX markets, and that parties “have not provided justification for extending the scope of our investigation or the mitigation to bilateral transactions other than spot markets.”  The Commission went on to state that “any mitigation applied to the ISO’s real-time markets will, over time, impact bilateral and forward markets as well.”  </w:t>
      </w:r>
      <w:r>
        <w:rPr>
          <w:i/>
          <w:iCs/>
          <w:sz w:val="24"/>
        </w:rPr>
        <w:t>Id. pg.2.</w:t>
      </w:r>
      <w:r>
        <w:rPr>
          <w:sz w:val="24"/>
        </w:rPr>
        <w:t xml:space="preserve">  Consequently, the Chief Judge should incorporate the Commission’s findings in his recommendation and clearly state that his recommended methodology is limited only to those transactions conducted in the CAISO and CalPX markets.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pPr>
      <w:r>
        <w:rPr>
          <w:b/>
          <w:bCs/>
          <w:i/>
          <w:iCs/>
          <w:sz w:val="24"/>
        </w:rPr>
        <w:t>Conclusion</w:t>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sz w:val="24"/>
        </w:rPr>
      </w:pPr>
      <w:r>
        <w:rPr>
          <w:sz w:val="24"/>
        </w:rPr>
        <w:tab/>
        <w:t>The Chief Judge should not recommend application of a formulaic cost-based refund approach for all sellers.  At most, such an approach is appropriate only for generators.  Enron was in most hours a price-taker, meaning that we offered to sell into the CAISO or CalPX markets at whatever market-clearing price was calculated.  If, however, the Chief Judge proceeds with this recommendation, Enron strongly urges the Judge to include the considerations set forth above as part of his recommendation to the Commission.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b/>
          <w:bCs/>
          <w:sz w:val="24"/>
        </w:rPr>
        <w:tab/>
        <w:t>WHEREFORE,</w:t>
      </w:r>
      <w:r>
        <w:rPr>
          <w:sz w:val="24"/>
        </w:rPr>
        <w:t xml:space="preserve"> Enron requests that any recommendation by the Chief Judge to the Commission in this proceeding be consistent with the foregoing.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ab/>
        <w:tab/>
        <w:tab/>
        <w:tab/>
        <w:t>Respectfully submitted;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ab/>
        <w:tab/>
        <w:tab/>
        <w:tab/>
        <w:t>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ab/>
        <w:tab/>
        <w:tab/>
        <w:tab/>
        <w:t>Ray J. Alvarez</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ab/>
        <w:tab/>
        <w:tab/>
        <w:tab/>
        <w:t>Vice President, Regulatory Affairs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ab/>
        <w:tab/>
        <w:tab/>
        <w:tab/>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ab/>
        <w:tab/>
        <w:tab/>
        <w:tab/>
        <w:t>1775 Eye St. N.W., Suite 800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ab/>
        <w:tab/>
        <w:tab/>
        <w:tab/>
        <w:t>Washington D.C. 20006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ab/>
        <w:tab/>
        <w:tab/>
        <w:tab/>
        <w:t>Phone: (202) 466-9170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sz w:val="24"/>
        </w:rPr>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 xml:space="preserve">July 10, 2001 </w:t>
      </w:r>
    </w:p>
    <w:p>
      <w:pPr>
        <w:pStyle w:val="Normal"/>
        <w:jc w:val="center"/>
        <w:rPr>
          <w:b/>
          <w:bCs/>
          <w:sz w:val="28"/>
          <w:szCs w:val="28"/>
        </w:rPr>
      </w:pPr>
      <w:r>
        <w:rPr>
          <w:b/>
          <w:bCs/>
          <w:sz w:val="28"/>
          <w:szCs w:val="28"/>
        </w:rPr>
        <w:t>UNITED STATES OF AMERICA</w:t>
      </w:r>
    </w:p>
    <w:p>
      <w:pPr>
        <w:pStyle w:val="Normal"/>
        <w:jc w:val="center"/>
        <w:rPr>
          <w:b/>
          <w:bCs/>
          <w:sz w:val="28"/>
          <w:szCs w:val="28"/>
        </w:rPr>
      </w:pPr>
      <w:r>
        <w:rPr>
          <w:b/>
          <w:bCs/>
          <w:sz w:val="28"/>
          <w:szCs w:val="28"/>
        </w:rPr>
        <w:t>BEFORE THE</w:t>
      </w:r>
    </w:p>
    <w:p>
      <w:pPr>
        <w:pStyle w:val="Normal"/>
        <w:jc w:val="center"/>
        <w:rPr>
          <w:sz w:val="28"/>
          <w:szCs w:val="28"/>
        </w:rPr>
      </w:pPr>
      <w:r>
        <w:rPr>
          <w:b/>
          <w:bCs/>
          <w:sz w:val="28"/>
          <w:szCs w:val="28"/>
        </w:rPr>
        <w:t>FEDERAL ENERGY REGULATORY COMMISSION</w:t>
      </w:r>
    </w:p>
    <w:p>
      <w:pPr>
        <w:pStyle w:val="Normal"/>
        <w:rPr>
          <w:sz w:val="28"/>
          <w:szCs w:val="28"/>
        </w:rPr>
      </w:pPr>
      <w:r>
        <w:rPr>
          <w:sz w:val="28"/>
          <w:szCs w:val="28"/>
        </w:rPr>
      </w:r>
    </w:p>
    <w:p>
      <w:pPr>
        <w:pStyle w:val="Normal"/>
        <w:rPr/>
      </w:pPr>
      <w:r>
        <w:rPr/>
      </w:r>
    </w:p>
    <w:p>
      <w:pPr>
        <w:pStyle w:val="Heading3"/>
        <w:ind w:hanging="0" w:start="0"/>
        <w:rPr/>
      </w:pPr>
      <w:r>
        <w:rPr/>
      </w:r>
    </w:p>
    <w:tbl>
      <w:tblPr>
        <w:tblW w:w="9576" w:type="dxa"/>
        <w:jc w:val="start"/>
        <w:tblInd w:w="108" w:type="dxa"/>
        <w:tblLayout w:type="fixed"/>
        <w:tblCellMar>
          <w:top w:w="0" w:type="dxa"/>
          <w:start w:w="108" w:type="dxa"/>
          <w:bottom w:w="0" w:type="dxa"/>
          <w:end w:w="108" w:type="dxa"/>
        </w:tblCellMar>
      </w:tblPr>
      <w:tblGrid>
        <w:gridCol w:w="4248"/>
        <w:gridCol w:w="1530"/>
        <w:gridCol w:w="3798"/>
      </w:tblGrid>
      <w:tr>
        <w:trPr/>
        <w:tc>
          <w:tcPr>
            <w:tcW w:w="424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San Diego Gas &amp; Electric,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 xml:space="preserve">            </w:t>
            </w:r>
            <w:r>
              <w:rPr>
                <w:b/>
                <w:bCs/>
                <w:sz w:val="24"/>
              </w:rPr>
              <w:t>Complainant,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 xml:space="preserve">         </w:t>
            </w:r>
            <w:r>
              <w:rPr>
                <w:b/>
                <w:bCs/>
                <w:sz w:val="24"/>
              </w:rPr>
              <w:t>v.</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Sellers of Energy and Ancillary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Services into Markets Operated by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California Independent System Operator and the California Power Exchange,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 xml:space="preserve">            </w:t>
            </w:r>
            <w:r>
              <w:rPr>
                <w:b/>
                <w:bCs/>
                <w:sz w:val="24"/>
              </w:rPr>
              <w:t xml:space="preserve">Respondents.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b/>
                <w:bCs/>
                <w:sz w:val="24"/>
              </w:rPr>
            </w:pPr>
            <w:r>
              <w:rPr>
                <w:b/>
                <w:bCs/>
                <w:sz w:val="24"/>
              </w:rPr>
            </w:r>
          </w:p>
        </w:tc>
        <w:tc>
          <w:tcPr>
            <w:tcW w:w="1530"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center"/>
              <w:rPr>
                <w:b/>
                <w:bCs/>
                <w:sz w:val="24"/>
              </w:rPr>
            </w:pPr>
            <w:r>
              <w:rPr>
                <w:b/>
                <w:bCs/>
                <w:sz w:val="24"/>
              </w:rPr>
              <w:t>)</w:t>
            </w:r>
          </w:p>
        </w:tc>
        <w:tc>
          <w:tcPr>
            <w:tcW w:w="379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center"/>
              <w:rPr>
                <w:sz w:val="24"/>
              </w:rPr>
            </w:pPr>
            <w:r>
              <w:rPr>
                <w:b/>
                <w:bCs/>
                <w:sz w:val="24"/>
              </w:rPr>
              <w:t>Docket No. EL00-95-000</w:t>
            </w:r>
          </w:p>
        </w:tc>
      </w:tr>
    </w:tbl>
    <w:p>
      <w:pPr>
        <w:pStyle w:val="Normal"/>
        <w:ind w:firstLine="720" w:start="2880" w:end="0"/>
        <w:rPr>
          <w:b/>
          <w:bCs/>
        </w:rPr>
      </w:pPr>
      <w:r>
        <w:rPr>
          <w:b/>
          <w:bCs/>
        </w:rPr>
        <w:tab/>
        <w:tab/>
        <w:t xml:space="preserve">                      </w:t>
      </w:r>
    </w:p>
    <w:p>
      <w:pPr>
        <w:pStyle w:val="Normal"/>
        <w:rPr>
          <w:b/>
          <w:bCs/>
        </w:rPr>
      </w:pPr>
      <w:r>
        <w:rPr/>
        <w:tab/>
        <w:tab/>
        <w:tab/>
        <w:tab/>
      </w:r>
    </w:p>
    <w:p>
      <w:pPr>
        <w:pStyle w:val="Heading1"/>
        <w:ind w:hanging="0" w:start="0"/>
        <w:jc w:val="center"/>
        <w:rPr>
          <w:sz w:val="24"/>
        </w:rPr>
      </w:pPr>
      <w:r>
        <w:rPr>
          <w:sz w:val="24"/>
        </w:rPr>
        <w:t>CERTIFICATE OF SERVICE</w:t>
      </w:r>
    </w:p>
    <w:p>
      <w:pPr>
        <w:pStyle w:val="Normal"/>
        <w:spacing w:lineRule="atLeast" w:line="480"/>
        <w:rPr>
          <w:sz w:val="24"/>
        </w:rPr>
      </w:pPr>
      <w:r>
        <w:rPr>
          <w:sz w:val="24"/>
        </w:rPr>
      </w:r>
    </w:p>
    <w:p>
      <w:pPr>
        <w:pStyle w:val="Normal"/>
        <w:spacing w:lineRule="atLeast" w:line="480"/>
        <w:rPr>
          <w:sz w:val="24"/>
        </w:rPr>
      </w:pPr>
      <w:r>
        <w:rPr>
          <w:sz w:val="24"/>
        </w:rPr>
        <w:tab/>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spacing w:lineRule="atLeast" w:line="480"/>
        <w:rPr>
          <w:sz w:val="24"/>
        </w:rPr>
      </w:pPr>
      <w:r>
        <w:rPr>
          <w:sz w:val="24"/>
        </w:rPr>
      </w:r>
    </w:p>
    <w:p>
      <w:pPr>
        <w:pStyle w:val="Normal"/>
        <w:spacing w:lineRule="atLeast" w:line="480"/>
        <w:rPr>
          <w:sz w:val="24"/>
        </w:rPr>
      </w:pPr>
      <w:r>
        <w:rPr>
          <w:sz w:val="24"/>
        </w:rPr>
        <w:tab/>
        <w:t>Dated at Washington, D.C., this 10th day of July 2001.</w:t>
      </w:r>
    </w:p>
    <w:p>
      <w:pPr>
        <w:pStyle w:val="Normal"/>
        <w:spacing w:lineRule="atLeast" w:line="480"/>
        <w:rPr>
          <w:sz w:val="24"/>
        </w:rPr>
      </w:pPr>
      <w:r>
        <w:rPr>
          <w:sz w:val="24"/>
        </w:rPr>
      </w:r>
    </w:p>
    <w:p>
      <w:pPr>
        <w:pStyle w:val="Normal"/>
        <w:spacing w:lineRule="atLeast" w:line="480"/>
        <w:rPr>
          <w:sz w:val="24"/>
        </w:rPr>
      </w:pPr>
      <w:r>
        <w:rPr>
          <w:sz w:val="24"/>
        </w:rPr>
      </w:r>
    </w:p>
    <w:p>
      <w:pPr>
        <w:pStyle w:val="Normal"/>
        <w:rPr>
          <w:sz w:val="24"/>
        </w:rPr>
      </w:pPr>
      <w:r>
        <w:rPr>
          <w:sz w:val="24"/>
        </w:rPr>
        <w:tab/>
        <w:tab/>
        <w:tab/>
        <w:tab/>
        <w:tab/>
        <w:tab/>
        <w:t>____________________________________</w:t>
      </w:r>
    </w:p>
    <w:p>
      <w:pPr>
        <w:pStyle w:val="Normal"/>
        <w:ind w:firstLine="720" w:start="720" w:end="0"/>
        <w:rPr>
          <w:sz w:val="24"/>
        </w:rPr>
      </w:pPr>
      <w:r>
        <w:rPr>
          <w:sz w:val="24"/>
        </w:rPr>
        <w:tab/>
        <w:tab/>
        <w:tab/>
        <w:tab/>
        <w:tab/>
        <w:t>Ray J. Alvarez</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sectPr>
      <w:footerReference w:type="default" r:id="rId4"/>
      <w:type w:val="nextPage"/>
      <w:pgSz w:w="12240" w:h="15840"/>
      <w:pgMar w:left="1440" w:right="1440" w:gutter="0" w:header="0" w:top="1440" w:footer="475" w:bottom="53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 w:name="Times New Roman TUR">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453"/>
      <w:rPr/>
    </w:pPr>
    <w:r>
      <w:rPr/>
    </w:r>
  </w:p>
  <w:p>
    <w:pPr>
      <w:pStyle w:val="Footer"/>
      <w:widowControl/>
      <w:tabs>
        <w:tab w:val="clear" w:pos="720"/>
        <w:tab w:val="left" w:pos="0" w:leader="none"/>
        <w:tab w:val="center" w:pos="4320" w:leader="none"/>
        <w:tab w:val="right" w:pos="8640" w:leader="none"/>
      </w:tabs>
      <w:ind w:end="360"/>
      <w:jc w:val="center"/>
      <w:rPr>
        <w:rFonts w:ascii="Baskerville Old Face" w:hAnsi="Baskerville Old Face" w:cs="Baskerville Old Face"/>
        <w:sz w:val="24"/>
      </w:rPr>
    </w:pPr>
    <w:r>
      <w:rPr>
        <w:rFonts w:cs="Baskerville Old Face" w:ascii="Baskerville Old Face" w:hAnsi="Baskerville Old Face"/>
        <w:sz w:val="24"/>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3060700" cy="177165"/>
              <wp:effectExtent l="0" t="0" r="0" b="0"/>
              <wp:wrapSquare wrapText="bothSides"/>
              <wp:docPr id="4" name="Frame2"/>
              <a:graphic xmlns:a="http://schemas.openxmlformats.org/drawingml/2006/main">
                <a:graphicData uri="http://schemas.microsoft.com/office/word/2010/wordprocessingShape">
                  <wps:wsp>
                    <wps:cNvSpPr txBox="1"/>
                    <wps:spPr>
                      <a:xfrm>
                        <a:off x="0" y="0"/>
                        <a:ext cx="3060700" cy="177165"/>
                      </a:xfrm>
                      <a:prstGeom prst="rect"/>
                      <a:solidFill>
                        <a:srgbClr val="FFFFFF">
                          <a:alpha val="0"/>
                        </a:srgbClr>
                      </a:solidFill>
                    </wps:spPr>
                    <wps:txbx>
                      <w:txbxContent>
                        <w:p>
                          <w:pPr>
                            <w:pStyle w:val="Normal"/>
                            <w:tabs>
                              <w:tab w:val="clear" w:pos="720"/>
                              <w:tab w:val="center" w:pos="4680" w:leader="none"/>
                            </w:tabs>
                            <w:jc w:val="both"/>
                            <w:rPr/>
                          </w:pPr>
                          <w:r>
                            <w:rPr>
                              <w:sz w:val="24"/>
                            </w:rPr>
                            <w:tab/>
                            <w:t>-</w:t>
                          </w:r>
                          <w:r>
                            <w:rPr>
                              <w:sz w:val="24"/>
                            </w:rPr>
                            <w:fldChar w:fldCharType="begin"/>
                          </w:r>
                          <w:r>
                            <w:rPr>
                              <w:sz w:val="24"/>
                            </w:rPr>
                            <w:instrText xml:space="preserve"> PAGE </w:instrText>
                          </w:r>
                          <w:r>
                            <w:rPr>
                              <w:sz w:val="24"/>
                            </w:rPr>
                            <w:fldChar w:fldCharType="separate"/>
                          </w:r>
                          <w:r>
                            <w:rPr>
                              <w:sz w:val="24"/>
                            </w:rPr>
                            <w:t>6</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241pt;height:13.95pt;mso-wrap-distance-left:0pt;mso-wrap-distance-right:0pt;mso-wrap-distance-top:0pt;mso-wrap-distance-bottom:0pt;margin-top:0.05pt;mso-position-vertical-relative:text;margin-left:113.5pt;mso-position-horizontal:center;mso-position-horizontal-relative:margin">
              <v:fill opacity="0f"/>
              <v:textbox inset="0in,0in,0in,0in">
                <w:txbxContent>
                  <w:p>
                    <w:pPr>
                      <w:pStyle w:val="Normal"/>
                      <w:tabs>
                        <w:tab w:val="clear" w:pos="720"/>
                        <w:tab w:val="center" w:pos="4680" w:leader="none"/>
                      </w:tabs>
                      <w:jc w:val="both"/>
                      <w:rPr/>
                    </w:pPr>
                    <w:r>
                      <w:rPr>
                        <w:sz w:val="24"/>
                      </w:rPr>
                      <w:tab/>
                      <w:t>-</w:t>
                    </w:r>
                    <w:r>
                      <w:rPr>
                        <w:sz w:val="24"/>
                      </w:rPr>
                      <w:fldChar w:fldCharType="begin"/>
                    </w:r>
                    <w:r>
                      <w:rPr>
                        <w:sz w:val="24"/>
                      </w:rPr>
                      <w:instrText xml:space="preserve"> PAGE </w:instrText>
                    </w:r>
                    <w:r>
                      <w:rPr>
                        <w:sz w:val="24"/>
                      </w:rPr>
                      <w:fldChar w:fldCharType="separate"/>
                    </w:r>
                    <w:r>
                      <w:rPr>
                        <w:sz w:val="24"/>
                      </w:rPr>
                      <w:t>6</w:t>
                    </w:r>
                    <w:r>
                      <w:rPr>
                        <w:sz w:val="24"/>
                      </w:rPr>
                      <w:fldChar w:fldCharType="end"/>
                    </w:r>
                    <w:r>
                      <w:rPr>
                        <w:sz w:val="24"/>
                      </w:rPr>
                      <w:t>-</w:t>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0"/>
        </w:tabs>
        <w:ind w:start="0" w:hanging="0"/>
      </w:pPr>
      <w:rPr>
        <w:sz w:val="26"/>
        <w:i/>
        <w:b/>
        <w:szCs w:val="26"/>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tex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numPr>
        <w:ilvl w:val="0"/>
        <w:numId w:val="1"/>
      </w:numPr>
      <w:outlineLvl w:val="0"/>
    </w:pPr>
    <w:rPr>
      <w:b/>
      <w:bCs/>
    </w:rPr>
  </w:style>
  <w:style w:type="paragraph" w:styleId="Heading3">
    <w:name w:val="heading 3"/>
    <w:basedOn w:val="Normal"/>
    <w:next w:val="Normal"/>
    <w:qFormat/>
    <w:pPr>
      <w:keepNext w:val="true"/>
      <w:widowControl/>
      <w:numPr>
        <w:ilvl w:val="2"/>
        <w:numId w:val="1"/>
      </w:numPr>
      <w:autoSpaceDE w:val="true"/>
      <w:jc w:val="both"/>
      <w:outlineLvl w:val="2"/>
    </w:pPr>
    <w:rPr>
      <w:b/>
      <w:sz w:val="24"/>
    </w:rPr>
  </w:style>
  <w:style w:type="character" w:styleId="WW8Num1z0">
    <w:name w:val="WW8Num1z0"/>
    <w:qFormat/>
    <w:rPr>
      <w:rFonts w:ascii="Baskerville Old Face" w:hAnsi="Baskerville Old Face" w:cs="Times New Roman"/>
      <w:b/>
      <w:i/>
      <w:sz w:val="26"/>
      <w:szCs w:val="26"/>
    </w:rPr>
  </w:style>
  <w:style w:type="character" w:styleId="WW8Num2z0">
    <w:name w:val="WW8Num2z0"/>
    <w:qFormat/>
    <w:rPr>
      <w:rFonts w:ascii="Times New Roman" w:hAnsi="Times New Roman" w:cs="Times New Roman"/>
      <w:b/>
      <w:i/>
      <w:sz w:val="26"/>
      <w:szCs w:val="26"/>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footnoteref">
    <w:name w:val="footnote ref"/>
    <w:qFormat/>
    <w:rPr>
      <w:sz w:val="20"/>
      <w:szCs w:val="20"/>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Center">
    <w:name w:val="Center"/>
    <w:basedOn w:val="Normal"/>
    <w:qFormat/>
    <w:pPr>
      <w:jc w:val="center"/>
    </w:pPr>
    <w:rPr>
      <w:rFonts w:ascii="Times New Roman TUR" w:hAnsi="Times New Roman TUR" w:cs="Times New Roman TUR"/>
      <w:b/>
      <w:bCs/>
    </w:rPr>
  </w:style>
  <w:style w:type="paragraph" w:styleId="TitleStyle">
    <w:name w:val="Title Style"/>
    <w:basedOn w:val="Normal"/>
    <w:qFormat/>
    <w:pPr>
      <w:jc w:val="center"/>
    </w:pPr>
    <w:rPr>
      <w:rFonts w:ascii="Times New Roman TUR" w:hAnsi="Times New Roman TUR" w:cs="Times New Roman TUR"/>
      <w:b/>
      <w:bCs/>
      <w:smallCaps/>
    </w:rPr>
  </w:style>
  <w:style w:type="paragraph" w:styleId="BodyText3">
    <w:name w:val="Body Text 3"/>
    <w:basedOn w:val="Normal"/>
    <w:qFormat/>
    <w:pPr>
      <w:jc w:val="center"/>
    </w:pPr>
    <w:rPr>
      <w:b/>
      <w:bCs/>
      <w:sz w:val="28"/>
      <w:szCs w:val="28"/>
    </w:rPr>
  </w:style>
  <w:style w:type="paragraph" w:styleId="Level1">
    <w:name w:val="Level 1"/>
    <w:basedOn w:val="Normal"/>
    <w:qFormat/>
    <w:pPr>
      <w:numPr>
        <w:ilvl w:val="0"/>
        <w:numId w:val="2"/>
      </w:numPr>
      <w:tabs>
        <w:tab w:val="clear" w:pos="720"/>
      </w:tabs>
      <w:ind w:hanging="720" w:start="1440" w:end="0"/>
      <w:outlineLvl w:val="0"/>
    </w:pPr>
    <w:rPr/>
  </w:style>
  <w:style w:type="paragraph" w:styleId="footnotetex">
    <w:name w:val="footnote tex"/>
    <w:basedOn w:val="Normal"/>
    <w:qFormat/>
    <w:pPr/>
    <w:rPr/>
  </w:style>
  <w:style w:type="paragraph" w:styleId="FootnoteText">
    <w:name w:val="footnote text"/>
    <w:basedOn w:val="Normal"/>
    <w:pPr/>
    <w:rPr>
      <w:szCs w:val="20"/>
    </w:rPr>
  </w:style>
  <w:style w:type="paragraph" w:styleId="BodyTextIndent">
    <w:name w:val="Body Text Indent"/>
    <w:basedOn w:val="Normal"/>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start="0" w:end="0"/>
    </w:pPr>
    <w:rPr>
      <w:sz w:val="24"/>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2001-07-10T16:25:00Z</dcterms:created>
  <dc:creator>jsteffe</dc:creator>
  <dc:description/>
  <dc:language>en-CA</dc:language>
  <cp:lastModifiedBy>ralvare2</cp:lastModifiedBy>
  <cp:lastPrinted>2001-07-10T14:41:00Z</cp:lastPrinted>
  <dcterms:modified xsi:type="dcterms:W3CDTF">2001-07-10T16:25:00Z</dcterms:modified>
  <cp:revision>2</cp:revision>
  <dc:subject/>
  <dc:title>UNITED STATES OF AMERICA</dc:title>
</cp:coreProperties>
</file>