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1139190" cy="113474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tbl>
      <w:tblPr>
        <w:tblW w:w="1039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655"/>
      </w:tblGrid>
      <w:tr>
        <w:trPr/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File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65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5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Scott Sefton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65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ECT-Europe</w:t>
            </w:r>
          </w:p>
        </w:tc>
      </w:tr>
      <w:tr>
        <w:trPr/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5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Outstanding Issues -- Internet Trading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65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rPr/>
      </w:pPr>
      <w:r>
        <w:rPr/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1.</w:t>
        <w:tab/>
        <w:t>Can we use generic (non-country specific) GTCs and put all country-specific issues in the ETAs or PAs?</w:t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2.</w:t>
        <w:tab/>
        <w:t>How are passwords issued within a counterparty?  Will we be able to identify who is trading within the organisation?  What personal data (including identity) will we collect about each person who trades with us?</w:t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3.</w:t>
        <w:tab/>
        <w:t>We need to incorporate a mechanism to capture notice details, nomination contact details, bank account information, etc.  Can we say for existing counterparties that these will be the same (on a commodity-by-commodity basis) as we currently use with that counterparty?  How will we handle new counterparties?  Will this be picked up in the GTCs, ETAs or PAs?</w:t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4.</w:t>
        <w:tab/>
        <w:t>For UK gas NBP trades, we need to deal with the issue of whether we are trading on a SMP basis or a SAP-plus-cost basis.  How do we incorporate our arrangement with NBP existing counterparties?  How do we handle new counterparties?</w:t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5.</w:t>
        <w:tab/>
        <w:t>We need to revise the UK beach contract to deal with underdeliveries/overdeliveries and any other issues that have customarily been dealt with in the confirm.</w:t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6.</w:t>
        <w:tab/>
        <w:t>We need to bottom out the data protection issues.  Some countries may require a filing with the local data protection registrar.</w:t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7.</w:t>
        <w:tab/>
        <w:t>The NPTA amendment agreement must refer to the NPTA agreement with sufficient specificity (issue date?) that it's clear which underlying NPTA agreement is being used.</w:t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8.</w:t>
        <w:tab/>
        <w:t>The payee tax representations need to be sorted.  Can this be done on a generic (non-country specific) basis?</w:t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9.</w:t>
        <w:tab/>
        <w:t>It has been decided that we will use just one disclaimer for the house and garden.</w:t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10.</w:t>
        <w:tab/>
        <w:t>The term "system administrator" will be changed to "master trader" or "head trader".</w:t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11.</w:t>
        <w:tab/>
        <w:t>All GTCs will be amended to provide that the limitation of liability provisions will apply, except as otherwise provided by  applicable law.</w:t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12.</w:t>
        <w:tab/>
        <w:t>All outstanding issues under the Overseas Jurisdiction Exception Report must be resolved.</w:t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13.</w:t>
        <w:tab/>
        <w:t>The coal GTCs must be finalised.</w:t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14.</w:t>
        <w:tab/>
        <w:t>The traders must approve all GTCs and product descriptions.</w:t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15.</w:t>
        <w:tab/>
        <w:t>We need to add a statement to the garden website to the effect that printing, signing and submitting the PA during partial online registration does not ensure they will receive a password.  Clifford Chance is drafting this.  Should this also be in each PA?</w:t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16.</w:t>
        <w:tab/>
        <w:t>It must be made clear that all derivative transactions are being arranged by EEFT.  How will this be handled?</w:t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17.</w:t>
        <w:tab/>
        <w:t>We need to see a draft of the registration form.</w:t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18.</w:t>
        <w:tab/>
        <w:t>We need to see a mockup of the system, either on paper or, preferably, one that can be run on a computer.</w:t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19.</w:t>
        <w:tab/>
        <w:t>We need to clarify that the country where the trader is located (not the country of incorporation of the counterparty) is relevant for purposes of determining which PA, ETA, etc. apply.</w:t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rPr>
          <w:sz w:val="18"/>
        </w:rPr>
      </w:pPr>
      <w:r>
        <w:rPr>
          <w:sz w:val="18"/>
        </w:rPr>
        <w:t>20.</w:t>
        <w:tab/>
        <w:t>We must decide whether the read only ETA will be executed online or offline.</w:t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ind w:hanging="648" w:start="720" w:end="0"/>
        <w:rPr>
          <w:sz w:val="18"/>
        </w:rPr>
      </w:pPr>
      <w:r>
        <w:rPr>
          <w:sz w:val="18"/>
        </w:rPr>
        <w:t>21.</w:t>
        <w:tab/>
        <w:t>Once the GTCs, ETAs, PAs, etc. are final (but prior to loading) Clifford Chance will have a single lawyer carefully read all of the documents to ensure consistency, accuracy, completeness, etc.  This is a very important quality control step because it will be difficult to change documents once they're loaded.</w:t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rPr>
          <w:sz w:val="18"/>
        </w:rPr>
      </w:pPr>
      <w:r>
        <w:rPr>
          <w:sz w:val="18"/>
        </w:rPr>
        <w:t>22.</w:t>
        <w:tab/>
        <w:t>All future drafts of the GTCs, ETAs, PAs, etc. will be dated to avoid confusion.</w:t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rPr>
          <w:sz w:val="18"/>
        </w:rPr>
      </w:pPr>
      <w:r>
        <w:rPr>
          <w:sz w:val="18"/>
        </w:rPr>
        <w:t>23.</w:t>
        <w:tab/>
        <w:t>All documents must be completed:</w:t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ind w:start="720" w:end="0"/>
        <w:rPr>
          <w:sz w:val="18"/>
        </w:rPr>
      </w:pPr>
      <w:r>
        <w:rPr>
          <w:sz w:val="18"/>
        </w:rPr>
        <w:t>-</w:t>
        <w:tab/>
        <w:t>GTCs -- may be generic or may need to be done on a country-by-country basis</w:t>
      </w:r>
    </w:p>
    <w:p>
      <w:pPr>
        <w:pStyle w:val="Body"/>
        <w:ind w:start="720" w:end="0"/>
        <w:rPr>
          <w:sz w:val="18"/>
        </w:rPr>
      </w:pPr>
      <w:r>
        <w:rPr>
          <w:sz w:val="18"/>
        </w:rPr>
        <w:t>-</w:t>
        <w:tab/>
        <w:t>PAs -- for each country</w:t>
      </w:r>
    </w:p>
    <w:p>
      <w:pPr>
        <w:pStyle w:val="Body"/>
        <w:ind w:start="720" w:end="0"/>
        <w:rPr>
          <w:sz w:val="18"/>
        </w:rPr>
      </w:pPr>
      <w:r>
        <w:rPr>
          <w:sz w:val="18"/>
        </w:rPr>
        <w:t>-</w:t>
        <w:tab/>
        <w:t>ETAs -- for each country</w:t>
      </w:r>
    </w:p>
    <w:p>
      <w:pPr>
        <w:pStyle w:val="Body"/>
        <w:ind w:start="720" w:end="0"/>
        <w:rPr>
          <w:sz w:val="18"/>
        </w:rPr>
      </w:pPr>
      <w:r>
        <w:rPr>
          <w:sz w:val="18"/>
        </w:rPr>
        <w:t>-</w:t>
        <w:tab/>
        <w:t>Read Only ETAs -- for each country</w:t>
      </w:r>
    </w:p>
    <w:p>
      <w:pPr>
        <w:pStyle w:val="Body"/>
        <w:ind w:start="720" w:end="0"/>
        <w:rPr>
          <w:sz w:val="18"/>
        </w:rPr>
      </w:pPr>
      <w:r>
        <w:rPr>
          <w:sz w:val="18"/>
        </w:rPr>
        <w:t>-</w:t>
        <w:tab/>
        <w:t>Legal and Privacy notice -- only one?</w:t>
      </w:r>
    </w:p>
    <w:p>
      <w:pPr>
        <w:pStyle w:val="Body"/>
        <w:ind w:start="720" w:end="0"/>
        <w:rPr>
          <w:sz w:val="18"/>
        </w:rPr>
      </w:pPr>
      <w:r>
        <w:rPr>
          <w:sz w:val="18"/>
        </w:rPr>
        <w:t>-</w:t>
        <w:tab/>
        <w:t>Product Descriptions</w:t>
      </w:r>
    </w:p>
    <w:p>
      <w:pPr>
        <w:pStyle w:val="Body"/>
        <w:ind w:start="720" w:end="0"/>
        <w:rPr>
          <w:sz w:val="18"/>
        </w:rPr>
      </w:pPr>
      <w:r>
        <w:rPr>
          <w:sz w:val="18"/>
        </w:rPr>
        <w:t>-</w:t>
        <w:tab/>
        <w:t>Required translations</w:t>
      </w:r>
    </w:p>
    <w:p>
      <w:pPr>
        <w:pStyle w:val="Body"/>
        <w:ind w:start="720" w:end="0"/>
        <w:rPr>
          <w:sz w:val="18"/>
        </w:rPr>
      </w:pPr>
      <w:r>
        <w:rPr>
          <w:sz w:val="18"/>
        </w:rPr>
        <w:t>-</w:t>
        <w:tab/>
        <w:t>Others from legal deliverables checklist</w:t>
      </w:r>
    </w:p>
    <w:p>
      <w:pPr>
        <w:pStyle w:val="Body"/>
        <w:rPr>
          <w:sz w:val="18"/>
        </w:rPr>
      </w:pPr>
      <w:r>
        <w:rPr>
          <w:sz w:val="18"/>
        </w:rPr>
      </w:r>
    </w:p>
    <w:p>
      <w:pPr>
        <w:pStyle w:val="Body"/>
        <w:rPr>
          <w:sz w:val="18"/>
        </w:rPr>
      </w:pPr>
      <w:r>
        <w:rPr>
          <w:sz w:val="18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720" w:right="720" w:gutter="0" w:header="1134" w:top="1190" w:footer="357" w:bottom="41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  <w:tab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  <w:p>
    <w:pPr>
      <w:pStyle w:val="Footer"/>
      <w:rPr>
        <w:sz w:val="12"/>
      </w:rPr>
    </w:pPr>
    <w:r>
      <w:rPr>
        <w:sz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clear" w:pos="540"/>
      </w:tabs>
      <w:ind w:hanging="720" w:start="720" w:end="0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qFormat/>
    <w:pPr>
      <w:ind w:hanging="578" w:start="720" w:end="0"/>
    </w:pPr>
    <w:rPr/>
  </w:style>
  <w:style w:type="paragraph" w:styleId="BodyTextIndent3">
    <w:name w:val="Body Text Indent 3"/>
    <w:basedOn w:val="Normal"/>
    <w:qFormat/>
    <w:pPr>
      <w:ind w:hanging="578" w:start="720" w:end="0"/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Enmemo97.dot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1999-07-08T10:55:00Z</dcterms:created>
  <dc:creator>Meagan Brinkworth</dc:creator>
  <dc:description/>
  <dc:language>en-CA</dc:language>
  <cp:lastModifiedBy>Meagan Brinkworth</cp:lastModifiedBy>
  <cp:lastPrinted>1999-07-08T15:35:00Z</cp:lastPrinted>
  <dcterms:modified xsi:type="dcterms:W3CDTF">1999-07-08T12:05:00Z</dcterms:modified>
  <cp:revision>4</cp:revision>
  <dc:subject/>
  <dc:title>Create an InterOffice Memo</dc:title>
</cp:coreProperties>
</file>