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4"/>
        </w:rPr>
      </w:pPr>
      <w:r>
        <w:rPr>
          <w:sz w:val="24"/>
        </w:rPr>
        <w:t>FILE NOTE</w:t>
      </w:r>
    </w:p>
    <w:p>
      <w:pPr>
        <w:pStyle w:val="Normal"/>
        <w:jc w:val="both"/>
        <w:rPr>
          <w:sz w:val="24"/>
        </w:rPr>
      </w:pPr>
      <w:r>
        <w:rPr>
          <w:sz w:val="24"/>
        </w:rPr>
      </w:r>
    </w:p>
    <w:p>
      <w:pPr>
        <w:pStyle w:val="Normal"/>
        <w:jc w:val="both"/>
        <w:rPr/>
      </w:pPr>
      <w:r>
        <w:rPr/>
      </w:r>
    </w:p>
    <w:p>
      <w:pPr>
        <w:pStyle w:val="Normal"/>
        <w:jc w:val="both"/>
        <w:rPr/>
      </w:pPr>
      <w:r>
        <w:rPr/>
      </w:r>
    </w:p>
    <w:p>
      <w:pPr>
        <w:pStyle w:val="Heading1"/>
        <w:tabs>
          <w:tab w:val="clear" w:pos="720"/>
          <w:tab w:val="left" w:pos="1530" w:leader="none"/>
        </w:tabs>
        <w:ind w:hanging="0" w:start="0"/>
        <w:jc w:val="both"/>
        <w:rPr/>
      </w:pPr>
      <w:r>
        <w:rPr/>
        <w:t>Subject:</w:t>
        <w:tab/>
        <w:t>EnronOnline</w:t>
      </w:r>
    </w:p>
    <w:p>
      <w:pPr>
        <w:pStyle w:val="Normal"/>
        <w:jc w:val="both"/>
        <w:rPr/>
      </w:pPr>
      <w:r>
        <w:rPr/>
      </w:r>
    </w:p>
    <w:p>
      <w:pPr>
        <w:pStyle w:val="Normal"/>
        <w:pBdr>
          <w:bottom w:val="single" w:sz="12" w:space="1" w:color="000000"/>
        </w:pBdr>
        <w:tabs>
          <w:tab w:val="clear" w:pos="720"/>
          <w:tab w:val="left" w:pos="1530" w:leader="none"/>
        </w:tabs>
        <w:jc w:val="both"/>
        <w:rPr>
          <w:b/>
        </w:rPr>
      </w:pPr>
      <w:r>
        <w:rPr>
          <w:b/>
        </w:rPr>
        <w:t xml:space="preserve">File Reference: </w:t>
        <w:tab/>
        <w:t>2.10</w:t>
      </w:r>
    </w:p>
    <w:p>
      <w:pPr>
        <w:pStyle w:val="Normal"/>
        <w:pBdr>
          <w:bottom w:val="single" w:sz="12" w:space="1" w:color="000000"/>
        </w:pBdr>
        <w:tabs>
          <w:tab w:val="clear" w:pos="720"/>
          <w:tab w:val="left" w:pos="1530" w:leader="none"/>
        </w:tabs>
        <w:jc w:val="both"/>
        <w:rPr>
          <w:b/>
        </w:rPr>
      </w:pPr>
      <w:r>
        <w:rPr>
          <w:b/>
        </w:rPr>
      </w:r>
    </w:p>
    <w:p>
      <w:pPr>
        <w:pStyle w:val="Normal"/>
        <w:pBdr>
          <w:bottom w:val="single" w:sz="12" w:space="1" w:color="000000"/>
        </w:pBdr>
        <w:tabs>
          <w:tab w:val="clear" w:pos="720"/>
          <w:tab w:val="left" w:pos="1530" w:leader="none"/>
        </w:tabs>
        <w:jc w:val="both"/>
        <w:rPr>
          <w:b/>
        </w:rPr>
      </w:pPr>
      <w:r>
        <w:rPr>
          <w:b/>
        </w:rPr>
        <w:t>From:</w:t>
        <w:tab/>
        <w:t>David Minns</w:t>
      </w:r>
    </w:p>
    <w:p>
      <w:pPr>
        <w:pStyle w:val="Normal"/>
        <w:pBdr>
          <w:bottom w:val="single" w:sz="12" w:space="1" w:color="000000"/>
        </w:pBdr>
        <w:tabs>
          <w:tab w:val="clear" w:pos="720"/>
          <w:tab w:val="left" w:pos="1530" w:leader="none"/>
        </w:tabs>
        <w:jc w:val="both"/>
        <w:rPr>
          <w:b/>
        </w:rPr>
      </w:pPr>
      <w:r>
        <w:rPr>
          <w:b/>
        </w:rPr>
      </w:r>
    </w:p>
    <w:p>
      <w:pPr>
        <w:pStyle w:val="Normal"/>
        <w:pBdr>
          <w:bottom w:val="single" w:sz="12" w:space="1" w:color="000000"/>
        </w:pBdr>
        <w:tabs>
          <w:tab w:val="clear" w:pos="720"/>
          <w:tab w:val="left" w:pos="1530" w:leader="none"/>
        </w:tabs>
        <w:jc w:val="both"/>
        <w:rPr>
          <w:b/>
        </w:rPr>
      </w:pPr>
      <w:r>
        <w:rPr>
          <w:b/>
        </w:rPr>
        <w:t>Date:</w:t>
        <w:tab/>
      </w:r>
      <w:r>
        <w:rPr>
          <w:b/>
        </w:rPr>
        <w:fldChar w:fldCharType="begin"/>
      </w:r>
      <w:r>
        <w:rPr>
          <w:b/>
        </w:rPr>
        <w:instrText xml:space="preserve"> DATE \@"d\ MMMM', 'yyyy" </w:instrText>
      </w:r>
      <w:r>
        <w:rPr>
          <w:b/>
        </w:rPr>
        <w:fldChar w:fldCharType="separate"/>
      </w:r>
      <w:r>
        <w:rPr>
          <w:b/>
        </w:rPr>
        <w:t>28 September, 2025</w:t>
      </w:r>
      <w:r>
        <w:rPr>
          <w:b/>
        </w:rPr>
        <w:fldChar w:fldCharType="end"/>
      </w:r>
    </w:p>
    <w:p>
      <w:pPr>
        <w:pStyle w:val="Normal"/>
        <w:tabs>
          <w:tab w:val="clear" w:pos="720"/>
          <w:tab w:val="left" w:pos="1530" w:leader="none"/>
        </w:tabs>
        <w:jc w:val="both"/>
        <w:rPr>
          <w:b/>
        </w:rPr>
      </w:pPr>
      <w:r>
        <w:rPr>
          <w:b/>
        </w:rPr>
      </w:r>
    </w:p>
    <w:p>
      <w:pPr>
        <w:pStyle w:val="Normal"/>
        <w:tabs>
          <w:tab w:val="clear" w:pos="720"/>
          <w:tab w:val="left" w:pos="1530" w:leader="none"/>
        </w:tabs>
        <w:jc w:val="both"/>
        <w:rPr/>
      </w:pPr>
      <w:r>
        <w:rPr/>
      </w:r>
    </w:p>
    <w:p>
      <w:pPr>
        <w:pStyle w:val="BodyText"/>
        <w:rPr/>
      </w:pPr>
      <w:r>
        <w:rPr/>
        <w:t>Telephone conversation with Mark Taylor 1 February 2000 on contractual issues regarding EnronOnline.</w:t>
      </w:r>
    </w:p>
    <w:p>
      <w:pPr>
        <w:pStyle w:val="Normal"/>
        <w:tabs>
          <w:tab w:val="clear" w:pos="720"/>
          <w:tab w:val="left" w:pos="1530" w:leader="none"/>
        </w:tabs>
        <w:jc w:val="both"/>
        <w:rPr/>
      </w:pPr>
      <w:r>
        <w:rPr/>
      </w:r>
    </w:p>
    <w:p>
      <w:pPr>
        <w:pStyle w:val="Normal"/>
        <w:tabs>
          <w:tab w:val="clear" w:pos="720"/>
          <w:tab w:val="left" w:pos="1530" w:leader="none"/>
        </w:tabs>
        <w:jc w:val="both"/>
        <w:rPr/>
      </w:pPr>
      <w:r>
        <w:rPr/>
      </w:r>
    </w:p>
    <w:p>
      <w:pPr>
        <w:pStyle w:val="Normal"/>
        <w:tabs>
          <w:tab w:val="clear" w:pos="720"/>
          <w:tab w:val="left" w:pos="1530" w:leader="none"/>
        </w:tabs>
        <w:jc w:val="both"/>
        <w:rPr/>
      </w:pPr>
      <w:r>
        <w:rPr/>
        <w:t>Purpose of the discussion was to address issues as laid out in my 24 January 2000 memo.  Specifically to determine the additional legal due diligence to be conducted for final sign off in Australia.</w:t>
      </w:r>
    </w:p>
    <w:p>
      <w:pPr>
        <w:pStyle w:val="Normal"/>
        <w:tabs>
          <w:tab w:val="clear" w:pos="720"/>
          <w:tab w:val="left" w:pos="1530" w:leader="none"/>
        </w:tabs>
        <w:jc w:val="both"/>
        <w:rPr/>
      </w:pPr>
      <w:r>
        <w:rPr/>
      </w:r>
    </w:p>
    <w:p>
      <w:pPr>
        <w:pStyle w:val="Normal"/>
        <w:numPr>
          <w:ilvl w:val="0"/>
          <w:numId w:val="3"/>
        </w:numPr>
        <w:jc w:val="both"/>
        <w:rPr/>
      </w:pPr>
      <w:r>
        <w:rPr>
          <w:i/>
        </w:rPr>
        <w:t>Revocation of offers</w:t>
      </w:r>
      <w:r>
        <w:rPr/>
        <w:t>.   Mark recalled there had been legal consideration of the possibility of counterparties attempting to revoke an offer.  Due to the near instantaneous response to an offer that will occur through EnronOnline it was not considered to be a significant risk.  Accordingly there would be no reason to override the common law position whereby a counterparty could (in theory) revoke an offer through some form of instantaneous communication such as phones and faxes, etc.</w:t>
      </w:r>
    </w:p>
    <w:p>
      <w:pPr>
        <w:pStyle w:val="Normal"/>
        <w:jc w:val="both"/>
        <w:rPr/>
      </w:pPr>
      <w:r>
        <w:rPr/>
      </w:r>
    </w:p>
    <w:p>
      <w:pPr>
        <w:pStyle w:val="Normal"/>
        <w:numPr>
          <w:ilvl w:val="0"/>
          <w:numId w:val="3"/>
        </w:numPr>
        <w:jc w:val="both"/>
        <w:rPr/>
      </w:pPr>
      <w:r>
        <w:rPr>
          <w:i/>
        </w:rPr>
        <w:t>Notification of acceptance</w:t>
      </w:r>
      <w:r>
        <w:rPr/>
        <w:t>.  What would happen if a counterparty alleged they could not access EnronOnline website due to lack of bandwidth.  This had been considered and also deemed not to be a significant exposure due to the extremely short period of time between a bid being made and notification of acceptance being posted on the website.</w:t>
      </w:r>
    </w:p>
    <w:p>
      <w:pPr>
        <w:pStyle w:val="Normal"/>
        <w:jc w:val="both"/>
        <w:rPr/>
      </w:pPr>
      <w:r>
        <w:rPr/>
      </w:r>
    </w:p>
    <w:p>
      <w:pPr>
        <w:pStyle w:val="Normal"/>
        <w:ind w:start="630" w:end="0"/>
        <w:jc w:val="both"/>
        <w:rPr/>
      </w:pPr>
      <w:r>
        <w:rPr/>
        <w:t>We can also assume that there would be sufficient evidence available through EnronOnline (stored in digital form) to establish that an acceptance was posted on the website at a particular time.</w:t>
      </w:r>
    </w:p>
    <w:p>
      <w:pPr>
        <w:pStyle w:val="Normal"/>
        <w:jc w:val="both"/>
        <w:rPr/>
      </w:pPr>
      <w:r>
        <w:rPr/>
      </w:r>
    </w:p>
    <w:p>
      <w:pPr>
        <w:pStyle w:val="Normal"/>
        <w:numPr>
          <w:ilvl w:val="0"/>
          <w:numId w:val="3"/>
        </w:numPr>
        <w:jc w:val="both"/>
        <w:rPr/>
      </w:pPr>
      <w:r>
        <w:rPr>
          <w:i/>
        </w:rPr>
        <w:t>Evidence that a version of a set of General Terms and Conditions or an Electronic Trading Agreement applies to a particular transaction</w:t>
      </w:r>
      <w:r>
        <w:rPr/>
        <w:t>.  The concern here was that we could establish which version of a particular GTC or ETA has the version a counterparty accepted for a particular transaction.  We can work on the assumption that:</w:t>
      </w:r>
    </w:p>
    <w:p>
      <w:pPr>
        <w:pStyle w:val="Normal"/>
        <w:jc w:val="both"/>
        <w:rPr>
          <w:i/>
          <w:i/>
        </w:rPr>
      </w:pPr>
      <w:r>
        <w:rPr>
          <w:i/>
        </w:rPr>
      </w:r>
    </w:p>
    <w:p>
      <w:pPr>
        <w:pStyle w:val="Normal"/>
        <w:numPr>
          <w:ilvl w:val="0"/>
          <w:numId w:val="4"/>
        </w:numPr>
        <w:tabs>
          <w:tab w:val="clear" w:pos="720"/>
          <w:tab w:val="left" w:pos="990" w:leader="none"/>
        </w:tabs>
        <w:ind w:hanging="360" w:start="990" w:end="0"/>
        <w:jc w:val="both"/>
        <w:rPr/>
      </w:pPr>
      <w:r>
        <w:rPr/>
        <w:t>When a set of GTCs or an ETA is changed a counterparty will be required to view and accept it before continuing to trade.</w:t>
      </w:r>
    </w:p>
    <w:p>
      <w:pPr>
        <w:pStyle w:val="Normal"/>
        <w:ind w:start="630" w:end="0"/>
        <w:jc w:val="both"/>
        <w:rPr/>
      </w:pPr>
      <w:r>
        <w:rPr/>
      </w:r>
    </w:p>
    <w:p>
      <w:pPr>
        <w:pStyle w:val="Normal"/>
        <w:numPr>
          <w:ilvl w:val="0"/>
          <w:numId w:val="4"/>
        </w:numPr>
        <w:tabs>
          <w:tab w:val="clear" w:pos="720"/>
          <w:tab w:val="left" w:pos="990" w:leader="none"/>
        </w:tabs>
        <w:ind w:hanging="360" w:start="990" w:end="0"/>
        <w:jc w:val="both"/>
        <w:rPr/>
      </w:pPr>
      <w:r>
        <w:rPr/>
        <w:t>There will be data in a digital form available through EnronOnline recording when the new versions of an ETA or GTCs were posted.</w:t>
      </w:r>
    </w:p>
    <w:p>
      <w:pPr>
        <w:pStyle w:val="Normal"/>
        <w:jc w:val="both"/>
        <w:rPr/>
      </w:pPr>
      <w:r>
        <w:rPr/>
      </w:r>
    </w:p>
    <w:p>
      <w:pPr>
        <w:pStyle w:val="Normal"/>
        <w:numPr>
          <w:ilvl w:val="0"/>
          <w:numId w:val="3"/>
        </w:numPr>
        <w:jc w:val="both"/>
        <w:rPr/>
      </w:pPr>
      <w:r>
        <w:rPr>
          <w:i/>
        </w:rPr>
        <w:t>Product descriptions</w:t>
      </w:r>
      <w:r>
        <w:rPr/>
        <w:t>.  We had recently had requests from Houston to structure our product descriptions to be more consistent with wording used elsewhere on EnronOnline.  Mark confirmed this is not necessary.  What is important is that the terminology used in the descriptions match that in the GTCs or any ISDA Master Agreement.</w:t>
      </w:r>
    </w:p>
    <w:p>
      <w:pPr>
        <w:pStyle w:val="Normal"/>
        <w:jc w:val="both"/>
        <w:rPr>
          <w:i/>
          <w:i/>
        </w:rPr>
      </w:pPr>
      <w:r>
        <w:rPr>
          <w:i/>
        </w:rPr>
      </w:r>
    </w:p>
    <w:p>
      <w:pPr>
        <w:pStyle w:val="Normal"/>
        <w:numPr>
          <w:ilvl w:val="0"/>
          <w:numId w:val="3"/>
        </w:numPr>
        <w:jc w:val="both"/>
        <w:rPr/>
      </w:pPr>
      <w:r>
        <w:rPr>
          <w:i/>
        </w:rPr>
        <w:t>Confirmations</w:t>
      </w:r>
      <w:r>
        <w:rPr/>
        <w:t>.  Confirmations will continue to be prepared in the same manner as is currently the case.  In Australia this involves drafts being prepared manually and forwarded to Houston for execution and dispatch.  Procedures will need to be put in place to extract relevant information on trades from EnronOnline, which is currently recorded on a deal ticket.</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numPr>
          <w:ilvl w:val="0"/>
          <w:numId w:val="3"/>
        </w:numPr>
        <w:jc w:val="both"/>
        <w:rPr/>
      </w:pPr>
      <w:r>
        <w:rPr>
          <w:i/>
        </w:rPr>
        <w:t>Action required</w:t>
      </w:r>
      <w:r>
        <w:rPr/>
        <w:t>. We will be moving to do the following:</w:t>
      </w:r>
    </w:p>
    <w:p>
      <w:pPr>
        <w:pStyle w:val="Normal"/>
        <w:jc w:val="both"/>
        <w:rPr/>
      </w:pPr>
      <w:r>
        <w:rPr/>
      </w:r>
    </w:p>
    <w:p>
      <w:pPr>
        <w:pStyle w:val="Normal"/>
        <w:numPr>
          <w:ilvl w:val="0"/>
          <w:numId w:val="2"/>
        </w:numPr>
        <w:jc w:val="both"/>
        <w:rPr/>
      </w:pPr>
      <w:r>
        <w:rPr/>
        <w:t>Settle the Australian legal advice incorporating the above information and assumptions.</w:t>
      </w:r>
    </w:p>
    <w:p>
      <w:pPr>
        <w:pStyle w:val="Normal"/>
        <w:ind w:start="630" w:end="0"/>
        <w:jc w:val="both"/>
        <w:rPr/>
      </w:pPr>
      <w:r>
        <w:rPr/>
      </w:r>
    </w:p>
    <w:p>
      <w:pPr>
        <w:pStyle w:val="Normal"/>
        <w:numPr>
          <w:ilvl w:val="0"/>
          <w:numId w:val="2"/>
        </w:numPr>
        <w:jc w:val="both"/>
        <w:rPr/>
      </w:pPr>
      <w:r>
        <w:rPr/>
        <w:t xml:space="preserve">Prepare a summary of the requirements for a “business record” for electronically stored data under the New South Wales </w:t>
      </w:r>
      <w:r>
        <w:rPr>
          <w:i/>
        </w:rPr>
        <w:t>Evidence Act</w:t>
      </w:r>
      <w:r>
        <w:rPr/>
        <w:t>.  This will enable any shortcomings in EnronOnline records to be identified. The focus will be on what is different in the Australian legislative environment.</w:t>
      </w:r>
    </w:p>
    <w:p>
      <w:pPr>
        <w:pStyle w:val="Normal"/>
        <w:jc w:val="both"/>
        <w:rPr/>
      </w:pPr>
      <w:r>
        <w:rPr/>
      </w:r>
    </w:p>
    <w:p>
      <w:pPr>
        <w:pStyle w:val="Normal"/>
        <w:numPr>
          <w:ilvl w:val="0"/>
          <w:numId w:val="2"/>
        </w:numPr>
        <w:jc w:val="both"/>
        <w:rPr/>
      </w:pPr>
      <w:r>
        <w:rPr/>
        <w:t>Prepare product descriptions that are consistent with the terminology and conventions of the relevant markets.</w:t>
      </w:r>
    </w:p>
    <w:p>
      <w:pPr>
        <w:pStyle w:val="Normal"/>
        <w:jc w:val="both"/>
        <w:rPr/>
      </w:pPr>
      <w:r>
        <w:rPr/>
      </w:r>
    </w:p>
    <w:p>
      <w:pPr>
        <w:pStyle w:val="Normal"/>
        <w:numPr>
          <w:ilvl w:val="0"/>
          <w:numId w:val="2"/>
        </w:numPr>
        <w:jc w:val="both"/>
        <w:rPr/>
      </w:pPr>
      <w:r>
        <w:rPr/>
        <w:t>Ensure procedures implemented for EnronOnline include arrangements for the preparation of confirmations from information available through EnronOnline.</w:t>
      </w:r>
    </w:p>
    <w:p>
      <w:pPr>
        <w:pStyle w:val="Normal"/>
        <w:jc w:val="both"/>
        <w:rPr/>
      </w:pPr>
      <w:r>
        <w:rPr/>
      </w:r>
    </w:p>
    <w:p>
      <w:pPr>
        <w:pStyle w:val="Normal"/>
        <w:jc w:val="both"/>
        <w:rPr/>
      </w:pPr>
      <w:r>
        <w:rPr/>
      </w:r>
    </w:p>
    <w:p>
      <w:pPr>
        <w:pStyle w:val="Normal"/>
        <w:jc w:val="both"/>
        <w:rPr/>
      </w:pPr>
      <w:r>
        <w:rPr/>
      </w:r>
    </w:p>
    <w:sectPr>
      <w:footerReference w:type="default" r:id="rId2"/>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/mnt/main-storage/datasets/enron-docs/doc/file_note___02.02.00.doc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810"/>
      </w:pPr>
      <w:rPr/>
    </w:lvl>
  </w:abstractNum>
  <w:abstractNum w:abstractNumId="3">
    <w:lvl w:ilvl="0">
      <w:start w:val="1"/>
      <w:numFmt w:val="decimal"/>
      <w:lvlText w:val="%1."/>
      <w:lvlJc w:val="start"/>
      <w:pPr>
        <w:tabs>
          <w:tab w:val="num" w:pos="630"/>
        </w:tabs>
        <w:ind w:start="630" w:hanging="63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530" w:leader="none"/>
      </w:tabs>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2000-02-01T21:49:00Z</dcterms:created>
  <dc:creator>swicks</dc:creator>
  <dc:description/>
  <dc:language>en-CA</dc:language>
  <cp:lastModifiedBy>David Minns</cp:lastModifiedBy>
  <cp:lastPrinted>2000-02-02T16:51:00Z</cp:lastPrinted>
  <dcterms:modified xsi:type="dcterms:W3CDTF">2000-02-02T20:06:00Z</dcterms:modified>
  <cp:revision>7</cp:revision>
  <dc:subject/>
  <dc:title>FILE NOTE</dc:title>
</cp:coreProperties>
</file>