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rPr>
          <w:sz w:val="24"/>
        </w:rPr>
      </w:pPr>
      <w:r>
        <w:rPr>
          <w:sz w:val="24"/>
        </w:rPr>
        <w:t>Comments of the Market Monitoring Committee of the California Power Exchange on the Federal Energy Regulatory Commission Order of November 1, 2000 order Proposing Remedies for California Wholesale Electricity Markets</w:t>
      </w:r>
    </w:p>
    <w:p>
      <w:pPr>
        <w:pStyle w:val="Heading"/>
        <w:spacing w:lineRule="auto" w:line="360"/>
        <w:jc w:val="start"/>
        <w:rPr>
          <w:sz w:val="24"/>
        </w:rPr>
      </w:pPr>
      <w:r>
        <w:rPr>
          <w:sz w:val="24"/>
        </w:rPr>
      </w:r>
    </w:p>
    <w:p>
      <w:pPr>
        <w:pStyle w:val="Heading"/>
        <w:spacing w:lineRule="auto" w:line="360"/>
        <w:rPr>
          <w:sz w:val="24"/>
        </w:rPr>
      </w:pPr>
      <w:r>
        <w:rPr>
          <w:sz w:val="24"/>
        </w:rPr>
        <w:t>James Bushnell, Chair</w:t>
      </w:r>
    </w:p>
    <w:p>
      <w:pPr>
        <w:pStyle w:val="Heading"/>
        <w:spacing w:lineRule="auto" w:line="360"/>
        <w:rPr>
          <w:sz w:val="24"/>
        </w:rPr>
      </w:pPr>
      <w:r>
        <w:rPr>
          <w:sz w:val="24"/>
        </w:rPr>
        <w:t>Robert Wilmouth, member</w:t>
      </w:r>
    </w:p>
    <w:p>
      <w:pPr>
        <w:pStyle w:val="Heading"/>
        <w:spacing w:lineRule="auto" w:line="360"/>
        <w:rPr>
          <w:sz w:val="24"/>
        </w:rPr>
      </w:pPr>
      <w:r>
        <w:rPr>
          <w:sz w:val="24"/>
        </w:rPr>
      </w:r>
    </w:p>
    <w:p>
      <w:pPr>
        <w:pStyle w:val="Heading"/>
        <w:spacing w:lineRule="auto" w:line="360"/>
        <w:rPr/>
      </w:pPr>
      <w:r>
        <w:rPr/>
      </w:r>
    </w:p>
    <w:p>
      <w:pPr>
        <w:pStyle w:val="Heading"/>
        <w:spacing w:lineRule="auto" w:line="360"/>
        <w:rPr>
          <w:sz w:val="24"/>
        </w:rPr>
      </w:pPr>
      <w:r>
        <w:rPr>
          <w:sz w:val="24"/>
        </w:rPr>
        <w:t>Summary</w:t>
      </w:r>
    </w:p>
    <w:p>
      <w:pPr>
        <w:pStyle w:val="Heading"/>
        <w:spacing w:lineRule="auto" w:line="360"/>
        <w:rPr>
          <w:sz w:val="24"/>
        </w:rPr>
      </w:pPr>
      <w:r>
        <w:rPr>
          <w:sz w:val="24"/>
        </w:rPr>
      </w:r>
    </w:p>
    <w:p>
      <w:pPr>
        <w:pStyle w:val="Heading"/>
        <w:spacing w:lineRule="auto" w:line="360"/>
        <w:jc w:val="start"/>
        <w:rPr>
          <w:b w:val="false"/>
          <w:sz w:val="24"/>
        </w:rPr>
      </w:pPr>
      <w:r>
        <w:rPr>
          <w:b w:val="false"/>
          <w:sz w:val="24"/>
        </w:rPr>
        <w:t xml:space="preserve">The Market Monitoring Committee (“MMC”) of the California Power Exchange (“CalPX”) concurs with the Federal Energy Regulatory Commission’s (“Commission’s”) conclusions that California’s electricity markets have serious structural flaws which limited the markets’ competitiveness throughout the summer of 2000.  The MMC agrees that the Commission must  play a more active role in the process of continuing the transition from a regulated electricity market in California.  But members of the MMC  have serious concerns about some of the specific measures proposed in the Commission’s Order of Nov. 1 (“the Order”).  In particular, we believe that the general approach to price mitigation described in the Order could further disrupt the market process, obscure the price signals received by both suppliers and consumers, and yet have little effect on mitigating market power or overall price levels. In addition the Order’s proposed price-mitigation measures place unnecessary financial and regulatory burdens on the CalPX. </w:t>
      </w:r>
    </w:p>
    <w:p>
      <w:pPr>
        <w:pStyle w:val="Normal"/>
        <w:spacing w:lineRule="auto" w:line="360"/>
        <w:rPr>
          <w:b/>
          <w:i/>
          <w:i/>
          <w:sz w:val="24"/>
        </w:rPr>
      </w:pPr>
      <w:r>
        <w:rPr>
          <w:b/>
          <w:i/>
          <w:sz w:val="24"/>
        </w:rPr>
      </w:r>
    </w:p>
    <w:p>
      <w:pPr>
        <w:pStyle w:val="BodyText"/>
        <w:spacing w:lineRule="auto" w:line="360"/>
        <w:rPr>
          <w:b w:val="false"/>
          <w:sz w:val="24"/>
        </w:rPr>
      </w:pPr>
      <w:r>
        <w:rPr>
          <w:b w:val="false"/>
          <w:sz w:val="24"/>
        </w:rPr>
        <w:t xml:space="preserve">The California electricity market comprises many simultaneous and sequential markets that take differing forms. The end of the CalPX must-buy/must-sell requirement  can only increase the fluidity of movement of transactions across markets.   The interdependence of multiple markets is both a strength and a weakness of the California market design.  As with any market-design change in one or two specific markets, the impact of the changes described in the Order will be diluted by the fact that other markets will continue to operate under different rules.  The decentralized design of these markets limits the impact of regulations aimed at specific market-clearing processes.  At the same time, the effect of harmful changes to market rules can also be diluted by the movement of transactions away from the flawed market. </w:t>
      </w:r>
    </w:p>
    <w:p>
      <w:pPr>
        <w:pStyle w:val="BodyText2"/>
        <w:rPr>
          <w:b/>
          <w:sz w:val="24"/>
        </w:rPr>
      </w:pPr>
      <w:r>
        <w:rPr>
          <w:b/>
          <w:sz w:val="24"/>
        </w:rPr>
      </w:r>
    </w:p>
    <w:p>
      <w:pPr>
        <w:pStyle w:val="BodyText2"/>
        <w:rPr/>
      </w:pPr>
      <w:r>
        <w:rPr/>
        <w:t xml:space="preserve">The decentralized market design in California has two important implications for the impact of the Commission’s price-mitigation measures.  First, regulations aimed at only one of the day-ahead markets in California probably will succeed only in driving volume out of that market.  Second, the most effective way to mitigate prices in </w:t>
      </w:r>
      <w:r>
        <w:rPr>
          <w:i/>
        </w:rPr>
        <w:t>all</w:t>
      </w:r>
      <w:r>
        <w:rPr/>
        <w:t xml:space="preserve"> markets is to focus either on the incentives of firms through the application of financial contracts, or on the application of mitigation measures to the imbalance-energy market of the California Independent System Operator (CAISO).  As the last market to be resolved, the imbalance energy market is the foundation of market outcomes in all other markets.</w:t>
      </w:r>
    </w:p>
    <w:p>
      <w:pPr>
        <w:pStyle w:val="Normal"/>
        <w:spacing w:lineRule="auto" w:line="360"/>
        <w:rPr>
          <w:sz w:val="24"/>
        </w:rPr>
      </w:pPr>
      <w:r>
        <w:rPr>
          <w:sz w:val="24"/>
        </w:rPr>
      </w:r>
    </w:p>
    <w:p>
      <w:pPr>
        <w:pStyle w:val="Normal"/>
        <w:spacing w:lineRule="auto" w:line="360"/>
        <w:rPr>
          <w:b/>
          <w:sz w:val="24"/>
        </w:rPr>
      </w:pPr>
      <w:r>
        <w:rPr>
          <w:b/>
          <w:sz w:val="24"/>
        </w:rPr>
        <w:t>The Order imposes asymmetric responsibilities and costs upon the schedule coordinators.</w:t>
      </w:r>
    </w:p>
    <w:p>
      <w:pPr>
        <w:pStyle w:val="Normal"/>
        <w:spacing w:lineRule="auto" w:line="360"/>
        <w:rPr>
          <w:b/>
          <w:sz w:val="24"/>
        </w:rPr>
      </w:pPr>
      <w:r>
        <w:rPr>
          <w:b/>
          <w:sz w:val="24"/>
        </w:rPr>
      </w:r>
    </w:p>
    <w:p>
      <w:pPr>
        <w:pStyle w:val="Normal"/>
        <w:spacing w:lineRule="auto" w:line="360"/>
        <w:rPr>
          <w:sz w:val="24"/>
        </w:rPr>
      </w:pPr>
      <w:r>
        <w:rPr>
          <w:sz w:val="24"/>
        </w:rPr>
        <w:t xml:space="preserve">The Order would immediately eliminate the requirement that California distribution companies must purchase power from the CalPX.  This requirement has already been substantially relaxed by decisions of the California Public Utilities Commission during the summer of 2000.  </w:t>
      </w:r>
    </w:p>
    <w:p>
      <w:pPr>
        <w:pStyle w:val="Normal"/>
        <w:spacing w:lineRule="auto" w:line="360"/>
        <w:rPr>
          <w:sz w:val="24"/>
        </w:rPr>
      </w:pPr>
      <w:r>
        <w:rPr>
          <w:sz w:val="24"/>
        </w:rPr>
      </w:r>
    </w:p>
    <w:p>
      <w:pPr>
        <w:pStyle w:val="Normal"/>
        <w:spacing w:lineRule="auto" w:line="360"/>
        <w:rPr>
          <w:sz w:val="24"/>
        </w:rPr>
      </w:pPr>
      <w:r>
        <w:rPr>
          <w:sz w:val="24"/>
        </w:rPr>
        <w:t xml:space="preserve">Yet the price-mitigation measures the Commission would adopt for the next 24 months would be applied to the markets of the CAISO and the CalPX.  No equivalent measures are to be required of schedule coordinators (“SCs”) other than the CalPX.  If the price-mitigation measures proposed in the Order do succeed in reducing prices earned by sellers, there is a serious risk that sellers will prefer day-ahead markets and SCs that are not required to adopt such measures.  </w:t>
      </w:r>
    </w:p>
    <w:p>
      <w:pPr>
        <w:pStyle w:val="Normal"/>
        <w:spacing w:lineRule="auto" w:line="360"/>
        <w:rPr>
          <w:sz w:val="24"/>
        </w:rPr>
      </w:pPr>
      <w:r>
        <w:rPr>
          <w:sz w:val="24"/>
        </w:rPr>
      </w:r>
    </w:p>
    <w:p>
      <w:pPr>
        <w:pStyle w:val="Normal"/>
        <w:spacing w:lineRule="auto" w:line="360"/>
        <w:rPr/>
      </w:pPr>
      <w:r>
        <w:rPr>
          <w:sz w:val="24"/>
        </w:rPr>
        <w:t xml:space="preserve">Implementing the price-mitigation process described in the Order would require the CalPX and its market participants to overhaul substantially their process for submitting bids, calculating prices, managing transmission congestion, and implementing settlements.  This would require a significant investment of both time and resources by the CalPX and those who use its services.  With the termination of the must-buy/must-sell requirement, the CalPX would have no guarantee that it could recover the cost of these changes, which would make its market </w:t>
      </w:r>
      <w:r>
        <w:rPr>
          <w:i/>
          <w:sz w:val="24"/>
        </w:rPr>
        <w:t>less</w:t>
      </w:r>
      <w:r>
        <w:rPr>
          <w:sz w:val="24"/>
        </w:rPr>
        <w:t xml:space="preserve"> attractive to sellers relative to other markets omitted from the Order.  </w:t>
      </w:r>
    </w:p>
    <w:p>
      <w:pPr>
        <w:pStyle w:val="Normal"/>
        <w:spacing w:lineRule="auto" w:line="360"/>
        <w:rPr>
          <w:sz w:val="24"/>
        </w:rPr>
      </w:pPr>
      <w:r>
        <w:rPr>
          <w:sz w:val="24"/>
        </w:rPr>
      </w:r>
    </w:p>
    <w:p>
      <w:pPr>
        <w:pStyle w:val="BodyText"/>
        <w:spacing w:lineRule="auto" w:line="360"/>
        <w:rPr>
          <w:sz w:val="24"/>
        </w:rPr>
      </w:pPr>
      <w:r>
        <w:rPr>
          <w:sz w:val="24"/>
        </w:rPr>
        <w:t>The Order would create market rules that could produce serious unintended consequences without enhancing the competitiveness of the market.</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t xml:space="preserve">The Order’s general approach to price mitigation consists of creating a pay-as-bid market that would apply to all bids over the $150/MWh level.  Bids below $150, if there were any, would be settled in a uniform price market.  These market rules would be applied only to the CalPX and CAISO energy markets. </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t xml:space="preserve">It is difficult to predict the impact of the proposed price-mitigation measures on overall price levels.  One source of this difficulty concerns the markets to which those measures would be applied.  Since the CalPX is the only day-ahead market upon which these regulations will fall, there is a serious risk that suppliers would simply seek other day-ahead markets to avoid these regulations.  The other significant uncertainty about the impact of these measures concerns the standards the Commission will apply when it reviews bids over $150.  </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t xml:space="preserve">The Order states that to recover their fixed costs of operation generators who are paid their bid prices should be allowed to bid prices in excess of their marginal cost.  This suggests that the average costs of generation may be used as a standard for bids above $150.  The application of a similar assessments of average-cost to the setting of rates for reliability must-run (RMR) generation in California resulted in some rates as high as $4000/MWh.  The Order also lists opportunity costs as a legitimate basis for bidding above $150.  This suggests an approach of market-based, rather than average cost pricing.  </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t xml:space="preserve">These two approaches, average-cost and opportunity cost assessments,  are fundamentally incompatible with each other.  Although average cost will vary across plants, the opportunity cost for each supplier will be the same.   </w:t>
      </w:r>
    </w:p>
    <w:p>
      <w:pPr>
        <w:pStyle w:val="BodyText"/>
        <w:spacing w:lineRule="auto" w:line="360"/>
        <w:rPr>
          <w:b w:val="false"/>
          <w:sz w:val="24"/>
        </w:rPr>
      </w:pPr>
      <w:r>
        <w:rPr>
          <w:b w:val="false"/>
          <w:sz w:val="24"/>
        </w:rPr>
      </w:r>
    </w:p>
    <w:p>
      <w:pPr>
        <w:pStyle w:val="BodyText"/>
        <w:spacing w:lineRule="auto" w:line="360"/>
        <w:rPr/>
      </w:pPr>
      <w:r>
        <w:rPr>
          <w:b w:val="false"/>
          <w:sz w:val="24"/>
        </w:rPr>
        <w:t xml:space="preserve">There is also a fundamental flaw in using a firm’s opportunity costs as the basis for regulating its of supply bids.  As the Commission staff report on the WSCC has noted, the markets in the WSCC are, for the most part, tightly integrated.  This means that, barring congestion, the price in California should reflect the price in Arizona </w:t>
      </w:r>
      <w:r>
        <w:rPr>
          <w:b w:val="false"/>
          <w:i/>
          <w:sz w:val="24"/>
        </w:rPr>
        <w:t>and vice versa</w:t>
      </w:r>
      <w:r>
        <w:rPr>
          <w:b w:val="false"/>
          <w:sz w:val="24"/>
        </w:rPr>
        <w:t xml:space="preserve">.  If a seller in Arizona anticipates that the Commission will approve a $1000 bid in California and that this bid will be accepted, that seller’s price of power is likely to be $1000.  Yet if any buyer were willing to pay $999 for power in Arizona, application of the opportunity cost standard would dictate that a $1000 bid be approved in California.  This would imply that the opportunity cost </w:t>
      </w:r>
      <w:r>
        <w:rPr>
          <w:b w:val="false"/>
          <w:i/>
          <w:sz w:val="24"/>
        </w:rPr>
        <w:t>for every generator</w:t>
      </w:r>
      <w:r>
        <w:rPr>
          <w:b w:val="false"/>
          <w:sz w:val="24"/>
        </w:rPr>
        <w:t xml:space="preserve"> will be $1000.</w:t>
      </w:r>
    </w:p>
    <w:p>
      <w:pPr>
        <w:pStyle w:val="BodyText"/>
        <w:spacing w:lineRule="auto" w:line="360"/>
        <w:rPr>
          <w:b w:val="false"/>
          <w:sz w:val="24"/>
        </w:rPr>
      </w:pPr>
      <w:r>
        <w:rPr>
          <w:b w:val="false"/>
          <w:sz w:val="24"/>
        </w:rPr>
        <w:t xml:space="preserve"> </w:t>
      </w:r>
    </w:p>
    <w:p>
      <w:pPr>
        <w:pStyle w:val="BodyText"/>
        <w:spacing w:lineRule="auto" w:line="360"/>
        <w:rPr>
          <w:b w:val="false"/>
          <w:sz w:val="24"/>
        </w:rPr>
      </w:pPr>
      <w:r>
        <w:rPr>
          <w:b w:val="false"/>
          <w:sz w:val="24"/>
        </w:rPr>
        <w:t>In short, using opportunity costs as a basis for regulating bids is equivalent to market-based pricing.  The result during periods of high demand would be a pay-as-bid market with no legitimate price mitigation.  During the vast majority of hours in which the market conditions fall between perfect competition and extreme resource scarcity, it is difficult to know what bidders would do when faced with the choice of bidding below $150 or taking a chance on a much higher price.   There appears to be considerable potential for gaming such market regulations.  The resulting market prices paid by consumers are unlikely to reflect the marginal costs of selling power.  This would be a step backwards from the goal of achieving a more price-responsive demand side to this market.</w:t>
      </w:r>
    </w:p>
    <w:p>
      <w:pPr>
        <w:pStyle w:val="BodyText"/>
        <w:spacing w:lineRule="auto" w:line="360"/>
        <w:rPr>
          <w:b w:val="false"/>
          <w:i/>
          <w:i/>
          <w:sz w:val="24"/>
        </w:rPr>
      </w:pPr>
      <w:r>
        <w:rPr>
          <w:b w:val="false"/>
          <w:i/>
          <w:sz w:val="24"/>
        </w:rPr>
      </w:r>
    </w:p>
    <w:p>
      <w:pPr>
        <w:pStyle w:val="BodyText"/>
        <w:spacing w:lineRule="auto" w:line="360"/>
        <w:rPr>
          <w:b w:val="false"/>
          <w:i/>
          <w:i/>
          <w:sz w:val="24"/>
        </w:rPr>
      </w:pPr>
      <w:r>
        <w:rPr>
          <w:b w:val="false"/>
          <w:i/>
          <w:sz w:val="24"/>
        </w:rPr>
      </w:r>
    </w:p>
    <w:p>
      <w:pPr>
        <w:pStyle w:val="BodyText"/>
        <w:spacing w:lineRule="auto" w:line="360"/>
        <w:rPr>
          <w:b w:val="false"/>
          <w:i/>
          <w:i/>
          <w:sz w:val="24"/>
        </w:rPr>
      </w:pPr>
      <w:r>
        <w:rPr>
          <w:b w:val="false"/>
          <w:i/>
          <w:sz w:val="24"/>
        </w:rPr>
        <w:t>Uniform-price vs. pay-as-bid markets</w:t>
      </w:r>
    </w:p>
    <w:p>
      <w:pPr>
        <w:pStyle w:val="BodyText"/>
        <w:spacing w:lineRule="auto" w:line="360"/>
        <w:rPr>
          <w:b w:val="false"/>
          <w:i/>
          <w:i/>
          <w:sz w:val="24"/>
        </w:rPr>
      </w:pPr>
      <w:r>
        <w:rPr>
          <w:b w:val="false"/>
          <w:i/>
          <w:sz w:val="24"/>
        </w:rPr>
      </w:r>
    </w:p>
    <w:p>
      <w:pPr>
        <w:pStyle w:val="BodyText"/>
        <w:spacing w:lineRule="auto" w:line="360"/>
        <w:rPr/>
      </w:pPr>
      <w:r>
        <w:rPr>
          <w:b w:val="false"/>
          <w:sz w:val="24"/>
        </w:rPr>
        <w:t xml:space="preserve">The Order seems to express the hope that an apparent switch to a pay-as-bid market process alone might serve to mitigate market power and therefore prices.  We do not share this optimism.  First, much of the power currently traded in California is not directly affected by the various uniform-price market rules of the CalPX and CAISO.  The portion of supply that is must-take is effectively priced at pre-existing regulatory levels.  Power transactions in the block forwards market (BFM) of the CalPX share more in common with pay-as-bid auctions than with uniform price auctions. Furthermore, the volume of power that is not scheduled by the power exchange has been, on average, at least as large as that transacted in the CAISO imbalance energy market.  Overall, </w:t>
      </w:r>
      <w:r>
        <w:rPr>
          <w:b w:val="false"/>
          <w:i/>
          <w:sz w:val="24"/>
        </w:rPr>
        <w:t>under today’s rules</w:t>
      </w:r>
      <w:r>
        <w:rPr>
          <w:b w:val="false"/>
          <w:sz w:val="24"/>
        </w:rPr>
        <w:t xml:space="preserve"> less than half the power traded in California is actually priced through a uniform-price auction process. </w:t>
      </w:r>
    </w:p>
    <w:p>
      <w:pPr>
        <w:pStyle w:val="BodyText"/>
        <w:spacing w:lineRule="auto" w:line="360"/>
        <w:rPr>
          <w:b w:val="false"/>
          <w:sz w:val="24"/>
        </w:rPr>
      </w:pPr>
      <w:r>
        <w:rPr>
          <w:b w:val="false"/>
          <w:sz w:val="24"/>
        </w:rPr>
      </w:r>
    </w:p>
    <w:p>
      <w:pPr>
        <w:pStyle w:val="BodyText"/>
        <w:spacing w:lineRule="auto" w:line="360"/>
        <w:rPr/>
      </w:pPr>
      <w:r>
        <w:rPr>
          <w:b w:val="false"/>
          <w:sz w:val="24"/>
        </w:rPr>
        <w:t xml:space="preserve">Second, economic analysis that has compared these two types of auctions in a setting as complex as California’s electricity industry has been inconclusive.  In periods of high demand, a supplier in a uniform price auction can, with little risk, bid a very high offer price for a portion of its portfolio in the hopes of setting a high price for all its units. In a pay-as-bid market, however, during periods of high demand such a firm would also find little risk in bidding </w:t>
      </w:r>
      <w:r>
        <w:rPr>
          <w:b w:val="false"/>
          <w:i/>
          <w:sz w:val="24"/>
        </w:rPr>
        <w:t>all</w:t>
      </w:r>
      <w:r>
        <w:rPr>
          <w:b w:val="false"/>
          <w:sz w:val="24"/>
        </w:rPr>
        <w:t xml:space="preserve"> its units at a very high price since almost all units would be needed to serve load.  Although there is evidence that uniform-price markets can better facilitate tacit collusion, we are not aware of any evidence that tacit collusion was responsible for the price levels during the summer of 2000.</w:t>
      </w:r>
    </w:p>
    <w:p>
      <w:pPr>
        <w:pStyle w:val="BodyText"/>
        <w:spacing w:lineRule="auto" w:line="360"/>
        <w:rPr>
          <w:b w:val="false"/>
          <w:sz w:val="24"/>
        </w:rPr>
      </w:pPr>
      <w:r>
        <w:rPr>
          <w:b w:val="false"/>
          <w:sz w:val="24"/>
        </w:rPr>
      </w:r>
    </w:p>
    <w:p>
      <w:pPr>
        <w:pStyle w:val="BodyText"/>
        <w:spacing w:lineRule="auto" w:line="360"/>
        <w:rPr/>
      </w:pPr>
      <w:r>
        <w:rPr>
          <w:b w:val="false"/>
          <w:sz w:val="24"/>
        </w:rPr>
        <w:t xml:space="preserve">It is important to re-emphasize that several markets that do not use a uniform-price auction to set prices currently operate in California.  Some of these were created as alternatives to the CalPX day-ahead market, others as complements to it.   If one form of market process is truly more efficient than the others, trading volume should migrate </w:t>
      </w:r>
      <w:r>
        <w:rPr>
          <w:b w:val="false"/>
          <w:i/>
          <w:sz w:val="24"/>
        </w:rPr>
        <w:t>voluntarily</w:t>
      </w:r>
      <w:r>
        <w:rPr>
          <w:b w:val="false"/>
          <w:sz w:val="24"/>
        </w:rPr>
        <w:t xml:space="preserve"> to such a market.  With the end of the CalPX “franchise” on utility purchases, no regulatory prohibitions prevent such a migration.  But neither the evidence from the California electricity markets, nor that from others support </w:t>
      </w:r>
      <w:r>
        <w:rPr>
          <w:b w:val="false"/>
          <w:i/>
          <w:sz w:val="24"/>
        </w:rPr>
        <w:t>imposing</w:t>
      </w:r>
      <w:r>
        <w:rPr>
          <w:b w:val="false"/>
          <w:sz w:val="24"/>
        </w:rPr>
        <w:t xml:space="preserve"> this significant and potentially costly change upon the CAISO or, particularly, the CalPX. </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r>
    </w:p>
    <w:p>
      <w:pPr>
        <w:pStyle w:val="BodyText"/>
        <w:spacing w:lineRule="auto" w:line="360"/>
        <w:rPr>
          <w:sz w:val="24"/>
        </w:rPr>
      </w:pPr>
      <w:r>
        <w:rPr>
          <w:sz w:val="24"/>
        </w:rPr>
        <w:t>There are better options for price mitigation.</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t>The Commission acknowledges the need for some form of regulatory involvement in California’s electricity market, at least during the next two years while the structural measures proposed in the Order are implemented and new supply is brought on line in the WSCC.  We believe that there are better means than the Order proposes for achieving the price mitigation desired by the Commission.  These measures could take the form of relatively short-term contractual arrangements by Commission jurisdictional producers of power in California.  Such contracts would limit the financial exposure of California consumers during the transition period, and provide the incentive for more aggressive competition amongst suppliers of power in California’s short-term markets.</w:t>
      </w:r>
    </w:p>
    <w:p>
      <w:pPr>
        <w:pStyle w:val="BodyText"/>
        <w:spacing w:lineRule="auto" w:line="360"/>
        <w:rPr>
          <w:b w:val="false"/>
          <w:sz w:val="24"/>
        </w:rPr>
      </w:pPr>
      <w:r>
        <w:rPr>
          <w:b w:val="false"/>
          <w:sz w:val="24"/>
        </w:rPr>
      </w:r>
    </w:p>
    <w:p>
      <w:pPr>
        <w:pStyle w:val="BodyText"/>
        <w:spacing w:lineRule="auto" w:line="360"/>
        <w:rPr/>
      </w:pPr>
      <w:r>
        <w:rPr>
          <w:b w:val="false"/>
          <w:sz w:val="24"/>
        </w:rPr>
        <w:t>Generators could, for instance, be required to forward contract some specified amount of energy.  The contracts would not require that specific units produce energy at particular times.  Rather, it could take the form of a purely financial arrangement, such as a contract-for-differences (CFD)</w:t>
      </w:r>
      <w:r>
        <w:rPr>
          <w:rStyle w:val="FootnoteCharacters"/>
          <w:rStyle w:val="FootnoteReference"/>
          <w:b/>
          <w:sz w:val="24"/>
        </w:rPr>
        <w:footnoteReference w:id="2"/>
      </w:r>
      <w:r>
        <w:rPr>
          <w:b w:val="false"/>
          <w:sz w:val="24"/>
        </w:rPr>
        <w:t xml:space="preserve"> or a futures contract.  In the case of a CFD, settlement could take place with respect to some exchange-based reference price such as the CalPX Day-Ahead Market.</w:t>
      </w:r>
    </w:p>
    <w:p>
      <w:pPr>
        <w:pStyle w:val="BodyText"/>
        <w:spacing w:lineRule="auto" w:line="360"/>
        <w:rPr>
          <w:b w:val="false"/>
          <w:sz w:val="24"/>
        </w:rPr>
      </w:pPr>
      <w:r>
        <w:rPr>
          <w:b w:val="false"/>
          <w:sz w:val="24"/>
        </w:rPr>
      </w:r>
    </w:p>
    <w:p>
      <w:pPr>
        <w:pStyle w:val="BodyText"/>
        <w:spacing w:lineRule="auto" w:line="360"/>
        <w:rPr>
          <w:b w:val="false"/>
          <w:i/>
          <w:i/>
          <w:sz w:val="24"/>
        </w:rPr>
      </w:pPr>
      <w:r>
        <w:rPr>
          <w:b w:val="false"/>
          <w:sz w:val="24"/>
        </w:rPr>
        <w:t xml:space="preserve">These contracts, in one form or another, have been frequently employed by electricity regulators.  Such contracts have been implemented in electricity markets in Australia, Canada, and the United Kingdom.  Many divestitures of utility generation portfolios in the U.S. have been accompanied by similar ‘buy-back’ arrangements between the new owners of the facilities and the distribution company that is divesting them.  The </w:t>
      </w:r>
      <w:r>
        <w:rPr>
          <w:b w:val="false"/>
          <w:i/>
          <w:sz w:val="24"/>
        </w:rPr>
        <w:t>absence</w:t>
      </w:r>
      <w:r>
        <w:rPr>
          <w:b w:val="false"/>
          <w:sz w:val="24"/>
        </w:rPr>
        <w:t xml:space="preserve"> of such arrangements in California stands out as distinctive when compared to electricity restructuring around the world.</w:t>
      </w:r>
      <w:r>
        <w:rPr>
          <w:rStyle w:val="FootnoteCharacters"/>
          <w:rStyle w:val="FootnoteReference"/>
          <w:b/>
          <w:sz w:val="24"/>
        </w:rPr>
        <w:footnoteReference w:id="3"/>
      </w:r>
      <w:r>
        <w:rPr>
          <w:b w:val="false"/>
          <w:sz w:val="24"/>
        </w:rPr>
        <w:t xml:space="preserve"> </w:t>
      </w:r>
    </w:p>
    <w:p>
      <w:pPr>
        <w:pStyle w:val="BodyText"/>
        <w:spacing w:lineRule="auto" w:line="360"/>
        <w:rPr>
          <w:b w:val="false"/>
          <w:i/>
          <w:i/>
          <w:sz w:val="24"/>
        </w:rPr>
      </w:pPr>
      <w:r>
        <w:rPr>
          <w:b w:val="false"/>
          <w:i/>
          <w:sz w:val="24"/>
        </w:rPr>
      </w:r>
    </w:p>
    <w:p>
      <w:pPr>
        <w:pStyle w:val="BodyText"/>
        <w:spacing w:lineRule="auto" w:line="360"/>
        <w:rPr>
          <w:b w:val="false"/>
          <w:sz w:val="24"/>
        </w:rPr>
      </w:pPr>
      <w:r>
        <w:rPr>
          <w:b w:val="false"/>
          <w:sz w:val="24"/>
        </w:rPr>
        <w:t>One important advantage of a contract option as a form of price-mitigation is that it can be overlaid on the existing market structure without necessitating an extensive redesign of the market clearing and settlement software.   Since congestion management and other aspects of the California market will be redesigned during the next two years,  forcing significant alteration to the market processes for the purpose of price mitigation would be wasteful if those procedures will need to be completely redesigned yet again at the end of the transition period.  Since the obligations would not be apply to specific generation units, in particular not to new ones, these contracts would not create any disincentive to new construction.  Moreover, there is no need to approve or design new contracts to fit this alternative of a forward contracting requirement.  Most, if not all, of the contracts necessary to comply with the requirement already exist on various exchanges.</w:t>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t xml:space="preserve">Introducing such contracts would provide immediate and tangible relief to ratepayers in California by guaranteeing that a substantial portion of their power was purchased at a rate deemed reasonable by the Commission.  The contracts should increase the competitiveness of the short-term markets in California, although to what extent cannot be known in advance.  Suppliers that have signed such contracts will, in effect, be obligated to produce or purchase the power required under the terms of the contracts.  Such an obligation gives them a substantial purchasing interest that can offset their selling interest.  Even if firms have the power to raise short-term prices above competitive levels, their </w:t>
      </w:r>
      <w:r>
        <w:rPr>
          <w:b w:val="false"/>
          <w:i/>
          <w:sz w:val="24"/>
        </w:rPr>
        <w:t>incentive</w:t>
      </w:r>
      <w:r>
        <w:rPr>
          <w:b w:val="false"/>
          <w:sz w:val="24"/>
        </w:rPr>
        <w:t xml:space="preserve"> to do so can be muted.</w:t>
      </w:r>
      <w:r>
        <w:rPr>
          <w:rStyle w:val="FootnoteCharacters"/>
          <w:rStyle w:val="FootnoteReference"/>
          <w:b/>
          <w:sz w:val="24"/>
        </w:rPr>
        <w:footnoteReference w:id="4"/>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r>
    </w:p>
    <w:p>
      <w:pPr>
        <w:pStyle w:val="BodyText"/>
        <w:spacing w:lineRule="auto" w:line="360"/>
        <w:rPr>
          <w:b w:val="false"/>
          <w:sz w:val="24"/>
        </w:rPr>
      </w:pPr>
      <w:r>
        <w:rPr>
          <w:b w:val="false"/>
          <w:sz w:val="24"/>
        </w:rPr>
      </w:r>
    </w:p>
    <w:p>
      <w:pPr>
        <w:pStyle w:val="Normal"/>
        <w:spacing w:lineRule="auto" w:line="360"/>
        <w:rPr>
          <w:b/>
          <w:sz w:val="24"/>
        </w:rPr>
      </w:pPr>
      <w:r>
        <w:rPr>
          <w:b/>
          <w:sz w:val="24"/>
        </w:rPr>
        <w:t>Operational price-mitigation measures should be focused on the CAISO imbalance energy market.  For such measures to be effective, the charge on imbalance-energy transactions must be modified.</w:t>
      </w:r>
    </w:p>
    <w:p>
      <w:pPr>
        <w:pStyle w:val="Normal"/>
        <w:spacing w:lineRule="auto" w:line="360"/>
        <w:rPr>
          <w:b/>
          <w:sz w:val="24"/>
        </w:rPr>
      </w:pPr>
      <w:r>
        <w:rPr>
          <w:b/>
          <w:sz w:val="24"/>
        </w:rPr>
      </w:r>
    </w:p>
    <w:p>
      <w:pPr>
        <w:pStyle w:val="Normal"/>
        <w:spacing w:lineRule="auto" w:line="360"/>
        <w:rPr>
          <w:i/>
          <w:i/>
          <w:sz w:val="24"/>
        </w:rPr>
      </w:pPr>
      <w:r>
        <w:rPr>
          <w:sz w:val="24"/>
        </w:rPr>
        <w:t xml:space="preserve">As the Commission has recognized, a cap or other mitigation measure applied to the CAISO imbalance energy market can effectively restrain prices in all other advance California electricity markets.  Buyers have the option of purchasing their power in this final market at the mitigated prices, and sellers know that buyers have this option. The application of mitigation measures to the CAISO imbalance energy market has not, by itself, created the problem of under scheduling in advance markets.  Both suppliers and demand understand the impact of such mitigation measures on real-time prices.   Instead, the under scheduling problem has resulted from a combination of other market rules that have effectively created a </w:t>
      </w:r>
      <w:r>
        <w:rPr>
          <w:i/>
          <w:sz w:val="24"/>
        </w:rPr>
        <w:t>lower</w:t>
      </w:r>
      <w:r>
        <w:rPr>
          <w:sz w:val="24"/>
        </w:rPr>
        <w:t xml:space="preserve"> cap on prices in the CalPX unconstrained day-ahead market than in the CAISO market.</w:t>
      </w:r>
      <w:r>
        <w:rPr>
          <w:rStyle w:val="FootnoteCharacters"/>
          <w:rStyle w:val="FootnoteReference"/>
          <w:sz w:val="24"/>
        </w:rPr>
        <w:footnoteReference w:id="5"/>
      </w:r>
      <w:r>
        <w:rPr>
          <w:sz w:val="24"/>
        </w:rPr>
        <w:t xml:space="preserve">  </w:t>
      </w:r>
    </w:p>
    <w:p>
      <w:pPr>
        <w:pStyle w:val="Normal"/>
        <w:widowControl w:val="false"/>
        <w:spacing w:lineRule="auto" w:line="360"/>
        <w:rPr>
          <w:i/>
          <w:i/>
          <w:sz w:val="24"/>
        </w:rPr>
      </w:pPr>
      <w:r>
        <w:rPr>
          <w:i/>
          <w:sz w:val="24"/>
        </w:rPr>
      </w:r>
    </w:p>
    <w:p>
      <w:pPr>
        <w:pStyle w:val="Normal"/>
        <w:spacing w:lineRule="auto" w:line="360"/>
        <w:rPr>
          <w:i/>
          <w:i/>
          <w:sz w:val="24"/>
        </w:rPr>
      </w:pPr>
      <w:r>
        <w:rPr>
          <w:i/>
          <w:sz w:val="24"/>
        </w:rPr>
        <w:t>Imbalance energy caps and under scheduling</w:t>
      </w:r>
    </w:p>
    <w:p>
      <w:pPr>
        <w:pStyle w:val="Normal"/>
        <w:spacing w:lineRule="auto" w:line="360"/>
        <w:rPr>
          <w:i/>
          <w:i/>
          <w:sz w:val="24"/>
        </w:rPr>
      </w:pPr>
      <w:r>
        <w:rPr>
          <w:i/>
          <w:sz w:val="24"/>
        </w:rPr>
      </w:r>
    </w:p>
    <w:p>
      <w:pPr>
        <w:pStyle w:val="Normal"/>
        <w:spacing w:lineRule="auto" w:line="360"/>
        <w:rPr>
          <w:sz w:val="24"/>
        </w:rPr>
      </w:pPr>
      <w:r>
        <w:rPr>
          <w:sz w:val="24"/>
        </w:rPr>
        <w:t>The amount of energy transacted in the imbalance energy market has at times reached nearly 1/3 of total load for an hour.  The CAISO has expressed serious concerns over the reliability of the system in the face of such substantial real-time activity.  We believe that the framework outlined in the Order is the right general approach to solving this problem.  The proposal in the Order, however, contains two serious deficiencies that could undermine other aspects of the Order.</w:t>
      </w:r>
    </w:p>
    <w:p>
      <w:pPr>
        <w:pStyle w:val="Normal"/>
        <w:spacing w:lineRule="auto" w:line="360"/>
        <w:rPr>
          <w:sz w:val="24"/>
        </w:rPr>
      </w:pPr>
      <w:r>
        <w:rPr>
          <w:sz w:val="24"/>
        </w:rPr>
      </w:r>
    </w:p>
    <w:p>
      <w:pPr>
        <w:pStyle w:val="Normal"/>
        <w:spacing w:lineRule="auto" w:line="360"/>
        <w:rPr>
          <w:sz w:val="24"/>
        </w:rPr>
      </w:pPr>
      <w:r>
        <w:rPr>
          <w:sz w:val="24"/>
        </w:rPr>
        <w:t>First, the proposed magnitude of the charge is extreme. The real-time trading charge could triple the price of energy, with a maximum penalty of $100.  We believe that such magnitudes are unnecessary to achieve the goal of substantially reducing real-time volume.  This is particularly true if the other sources of the under scheduling problem are corrected.</w:t>
      </w:r>
    </w:p>
    <w:p>
      <w:pPr>
        <w:pStyle w:val="Normal"/>
        <w:spacing w:lineRule="auto" w:line="360"/>
        <w:rPr>
          <w:sz w:val="24"/>
        </w:rPr>
      </w:pPr>
      <w:r>
        <w:rPr>
          <w:sz w:val="24"/>
        </w:rPr>
      </w:r>
    </w:p>
    <w:p>
      <w:pPr>
        <w:pStyle w:val="Normal"/>
        <w:spacing w:lineRule="auto" w:line="360"/>
        <w:rPr>
          <w:sz w:val="24"/>
        </w:rPr>
      </w:pPr>
      <w:r>
        <w:rPr>
          <w:sz w:val="24"/>
        </w:rPr>
        <w:t>The other flaw in the proposal is the application of the charge solely to demand.  Energy purchased from the real-time market could cost demand three times what it would cost if purchased elsewhere. Suppliers, knowing this, would be able to charge demand higher prices in advance markets because of the higher costs to demand of the alternative, waiting to purchase in real-time.  This means that any mitigation measure applied to the imbalance energy market will really lead to prices up to $100 greater than would be assumed if one took the measures (such as $150 cap) themselves as binding.</w:t>
      </w:r>
    </w:p>
    <w:p>
      <w:pPr>
        <w:pStyle w:val="Normal"/>
        <w:spacing w:lineRule="auto" w:line="360"/>
        <w:rPr>
          <w:sz w:val="24"/>
        </w:rPr>
      </w:pPr>
      <w:r>
        <w:rPr>
          <w:sz w:val="24"/>
        </w:rPr>
      </w:r>
    </w:p>
    <w:p>
      <w:pPr>
        <w:pStyle w:val="Normal"/>
        <w:spacing w:lineRule="auto" w:line="360"/>
        <w:rPr>
          <w:sz w:val="24"/>
        </w:rPr>
      </w:pPr>
      <w:r>
        <w:rPr>
          <w:sz w:val="24"/>
        </w:rPr>
        <w:t>We would advise beginning with a smaller transaction charge, around $10/MWh, that could be incremented if necessary, and applying the charge equally to demand and supply in the imbalance-energy market.  To have the desired effect, the real-time trading charge must cause both sides of the market to prefer completing their transactions in advance.</w:t>
      </w:r>
    </w:p>
    <w:p>
      <w:pPr>
        <w:pStyle w:val="Normal"/>
        <w:spacing w:lineRule="auto" w:line="360"/>
        <w:rPr>
          <w:sz w:val="24"/>
        </w:rPr>
      </w:pPr>
      <w:r>
        <w:rPr>
          <w:sz w:val="24"/>
        </w:rPr>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A contract-for-differences is a purely financial arrangement.  Settlement is made with respect to some standard index or reference price such as the CalPX Day-Ahead price.  In the contract, the buyer and seller agree on a “deal price” and then the settlement depends on the difference between the deal price and the reference price.  For example, if the contract specifies a deal price of $100 and the index price is $90, the buyer pays the seller $10.  If the index price turns out to be $110, the seller pays the buyer, $10.  </w:t>
      </w:r>
    </w:p>
  </w:footnote>
  <w:footnote w:id="3">
    <w:p>
      <w:pPr>
        <w:pStyle w:val="FootnoteText"/>
        <w:rPr/>
      </w:pPr>
      <w:r>
        <w:rPr>
          <w:rStyle w:val="FootnoteCharacters"/>
        </w:rPr>
        <w:footnoteRef/>
      </w:r>
      <w:r>
        <w:rPr/>
        <w:t xml:space="preserve"> </w:t>
      </w:r>
      <w:r>
        <w:rPr/>
        <w:t>The retail rate-freeze that accompanied the imposition of the competition transition charge in California has served to smooth, at least temporarily, the impact of restructuring on some end-users.  With the divestiture of most utility generation assets in California, however, this mechanism has no impact on the most suppliers’ incentives.</w:t>
      </w:r>
    </w:p>
  </w:footnote>
  <w:footnote w:id="4">
    <w:p>
      <w:pPr>
        <w:pStyle w:val="FootnoteText"/>
        <w:rPr/>
      </w:pPr>
      <w:r>
        <w:rPr>
          <w:rStyle w:val="FootnoteCharacters"/>
        </w:rPr>
        <w:footnoteRef/>
      </w:r>
      <w:r>
        <w:rPr/>
        <w:t xml:space="preserve"> </w:t>
      </w:r>
      <w:r>
        <w:rPr/>
        <w:t xml:space="preserve">In creating such incentives, the relatively short-term duration of 18- or 24-month contract can be problematic.  If suppliers focus on influencing the expectations of the market price </w:t>
      </w:r>
      <w:r>
        <w:rPr>
          <w:i/>
        </w:rPr>
        <w:t>after</w:t>
      </w:r>
      <w:r>
        <w:rPr/>
        <w:t xml:space="preserve"> the expiration of these contracts, they may still prefer to raise short-term prices.  In general, the longer the contract term, the less such forward-looking strategies will play a role in market prices.  This concern must be balanced with the implications of longer term contracts for retail competition beyond the original retail rate freeze transition period in California.</w:t>
      </w:r>
    </w:p>
  </w:footnote>
  <w:footnote w:id="5">
    <w:p>
      <w:pPr>
        <w:pStyle w:val="FootnoteText"/>
        <w:rPr/>
      </w:pPr>
      <w:r>
        <w:rPr>
          <w:rStyle w:val="FootnoteCharacters"/>
        </w:rPr>
        <w:footnoteRef/>
      </w:r>
      <w:r>
        <w:rPr/>
        <w:t xml:space="preserve"> </w:t>
      </w:r>
      <w:r>
        <w:rPr/>
        <w:t>These factors are the presence of the replacement-reserve capacity market, which allows generators to earn up to $350/MWh by selling both replacement capacity (capped at $100) and imbalance energy (capped at $250), combined with a $250 cap on adjustment bids for the relief of transmission.  As described in September 6, 2000 report of the Market Surveillance Committee of the CAISO, this cap on adjustment bids effectively caps the unconstrained CalPX price at $250/MWh.  The lower day-ahead price cap creates an environment where sellers prefer the real-time market and buyers have limited flexibility to pay suppliers enough to reach an agreement before real-time.</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2">
    <w:name w:val="Body Text 2"/>
    <w:basedOn w:val="Normal"/>
    <w:qFormat/>
    <w:pPr>
      <w:spacing w:lineRule="auto" w:line="36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2000-11-22T10:36:00Z</dcterms:created>
  <dc:creator>James Bushnell</dc:creator>
  <dc:description/>
  <dc:language>en-CA</dc:language>
  <cp:lastModifiedBy>Barbara Fetherolf</cp:lastModifiedBy>
  <cp:lastPrinted>2000-11-20T16:12:00Z</cp:lastPrinted>
  <dcterms:modified xsi:type="dcterms:W3CDTF">2000-11-22T10:36:00Z</dcterms:modified>
  <cp:revision>2</cp:revision>
  <dc:subject/>
  <dc:title>Comments on the proposed FERC decision of Nov</dc:title>
</cp:coreProperties>
</file>