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t>Linda A. Miller</w:t>
      </w:r>
    </w:p>
    <w:p>
      <w:pPr>
        <w:pStyle w:val="Normal"/>
        <w:rPr/>
      </w:pPr>
      <w:r>
        <w:rPr/>
        <w:t>Vice President - Project Finance</w:t>
      </w:r>
    </w:p>
    <w:p>
      <w:pPr>
        <w:pStyle w:val="Normal"/>
        <w:rPr/>
      </w:pPr>
      <w:r>
        <w:rPr/>
        <w:t>TECO Power Services</w:t>
      </w:r>
    </w:p>
    <w:p>
      <w:pPr>
        <w:pStyle w:val="Normal"/>
        <w:rPr/>
      </w:pPr>
      <w:r>
        <w:rPr/>
        <w:t>702 N. Franklin St.</w:t>
      </w:r>
    </w:p>
    <w:p>
      <w:pPr>
        <w:pStyle w:val="Normal"/>
        <w:rPr/>
      </w:pPr>
      <w:r>
        <w:rPr/>
        <w:t>Tampa, FL 33602</w:t>
      </w:r>
    </w:p>
    <w:p>
      <w:pPr>
        <w:pStyle w:val="Normal"/>
        <w:rPr/>
      </w:pPr>
      <w:r>
        <w:rPr/>
      </w:r>
    </w:p>
    <w:p>
      <w:pPr>
        <w:pStyle w:val="Normal"/>
        <w:rPr/>
      </w:pPr>
      <w:r>
        <w:rPr/>
        <w:t>Thomas H. Zenner</w:t>
      </w:r>
    </w:p>
    <w:p>
      <w:pPr>
        <w:pStyle w:val="Normal"/>
        <w:rPr/>
      </w:pPr>
      <w:r>
        <w:rPr/>
        <w:t>Vice President and CFO</w:t>
      </w:r>
    </w:p>
    <w:p>
      <w:pPr>
        <w:pStyle w:val="Normal"/>
        <w:rPr/>
      </w:pPr>
      <w:r>
        <w:rPr/>
        <w:t>Mosbacher Power Group</w:t>
      </w:r>
    </w:p>
    <w:p>
      <w:pPr>
        <w:pStyle w:val="Normal"/>
        <w:rPr/>
      </w:pPr>
      <w:r>
        <w:rPr/>
        <w:t>712 Main Street, Suite 2200</w:t>
      </w:r>
    </w:p>
    <w:p>
      <w:pPr>
        <w:pStyle w:val="Normal"/>
        <w:rPr/>
      </w:pPr>
      <w:r>
        <w:rPr/>
        <w:t>Houston, TX  77002</w:t>
      </w:r>
    </w:p>
    <w:p>
      <w:pPr>
        <w:pStyle w:val="Normal"/>
        <w:rPr/>
      </w:pPr>
      <w:r>
        <w:rPr/>
      </w:r>
    </w:p>
    <w:p>
      <w:pPr>
        <w:pStyle w:val="Normal"/>
        <w:rPr/>
      </w:pPr>
      <w:r>
        <w:rPr/>
        <w:t>Dear Linda, Tom;</w:t>
      </w:r>
    </w:p>
    <w:p>
      <w:pPr>
        <w:pStyle w:val="Normal"/>
        <w:rPr/>
      </w:pPr>
      <w:r>
        <w:rPr/>
      </w:r>
    </w:p>
    <w:p>
      <w:pPr>
        <w:pStyle w:val="Normal"/>
        <w:rPr/>
      </w:pPr>
      <w:r>
        <w:rPr/>
        <w:t>I met with Tom last Monday and spoke with Marshall Tucker today.  I understand there could be perception differences between our respective analysis of  Enron’s  proposal but I thought I should highlight to you how I think my proposal adds value to your project. Based on your spreadsheet, Enron’s proposal:</w:t>
      </w:r>
    </w:p>
    <w:p>
      <w:pPr>
        <w:pStyle w:val="Normal"/>
        <w:rPr/>
      </w:pPr>
      <w:r>
        <w:rPr/>
      </w:r>
    </w:p>
    <w:p>
      <w:pPr>
        <w:pStyle w:val="Normal"/>
        <w:numPr>
          <w:ilvl w:val="0"/>
          <w:numId w:val="1"/>
        </w:numPr>
        <w:tabs>
          <w:tab w:val="clear" w:pos="720"/>
          <w:tab w:val="left" w:pos="0" w:leader="none"/>
        </w:tabs>
        <w:ind w:hanging="720" w:start="1440" w:end="0"/>
        <w:rPr/>
      </w:pPr>
      <w:r>
        <w:rPr/>
        <w:t>Reduces equity contribution by $21.1 million ($89.7 million to $68.5 million),</w:t>
      </w:r>
    </w:p>
    <w:p>
      <w:pPr>
        <w:pStyle w:val="Normal"/>
        <w:numPr>
          <w:ilvl w:val="0"/>
          <w:numId w:val="1"/>
        </w:numPr>
        <w:tabs>
          <w:tab w:val="clear" w:pos="720"/>
          <w:tab w:val="left" w:pos="0" w:leader="none"/>
        </w:tabs>
        <w:ind w:hanging="720" w:start="1440" w:end="0"/>
        <w:rPr/>
      </w:pPr>
      <w:r>
        <w:rPr/>
        <w:t>Increases equity IRR by 1.70% (16.4% to 18.1%),</w:t>
      </w:r>
    </w:p>
    <w:p>
      <w:pPr>
        <w:pStyle w:val="Normal"/>
        <w:numPr>
          <w:ilvl w:val="0"/>
          <w:numId w:val="1"/>
        </w:numPr>
        <w:tabs>
          <w:tab w:val="clear" w:pos="720"/>
          <w:tab w:val="left" w:pos="0" w:leader="none"/>
        </w:tabs>
        <w:ind w:hanging="720" w:start="1440" w:end="0"/>
        <w:rPr/>
      </w:pPr>
      <w:r>
        <w:rPr/>
        <w:t>Shortens equity payback from 2008 to 2004,</w:t>
      </w:r>
    </w:p>
    <w:p>
      <w:pPr>
        <w:pStyle w:val="Normal"/>
        <w:numPr>
          <w:ilvl w:val="0"/>
          <w:numId w:val="1"/>
        </w:numPr>
        <w:tabs>
          <w:tab w:val="clear" w:pos="720"/>
          <w:tab w:val="left" w:pos="0" w:leader="none"/>
        </w:tabs>
        <w:ind w:hanging="360" w:start="1440" w:end="0"/>
        <w:rPr/>
      </w:pPr>
      <w:r>
        <w:rPr/>
        <w:t>Although my proposal decreases NPV by $2.9 million ($33.9 million vs. $36.8 million), NPV as a % of equity invested increases from 41% to 49.5%.</w:t>
      </w:r>
    </w:p>
    <w:p>
      <w:pPr>
        <w:pStyle w:val="Normal"/>
        <w:rPr/>
      </w:pPr>
      <w:r>
        <w:rPr/>
      </w:r>
    </w:p>
    <w:p>
      <w:pPr>
        <w:pStyle w:val="Normal"/>
        <w:rPr/>
      </w:pPr>
      <w:r>
        <w:rPr/>
        <w:t>By almost any benchmark, Enron’s proposal improves your project economics.  About the only negative to my proposal is that I reduce book earnings in the early years although the material you shared with me does not indicate the magnitude.  This result is attributable to two effects;  increased interest expense from higher leverage (desirous), and reduced revenues due to Enron’s call option.</w:t>
      </w:r>
    </w:p>
    <w:p>
      <w:pPr>
        <w:pStyle w:val="Normal"/>
        <w:rPr/>
      </w:pPr>
      <w:r>
        <w:rPr/>
      </w:r>
    </w:p>
    <w:p>
      <w:pPr>
        <w:pStyle w:val="Normal"/>
        <w:rPr/>
      </w:pPr>
      <w:r>
        <w:rPr/>
        <w:t>Enron’s proposal requires us to manage significant risks in an illiquid market for term.  In order for us to do this deal, we’re going to need compensation in the range of what we proposed.  However, we could shuffle the components of the transaction around while maintaining the present value benefit to Enron.  For example, I could start the call option in a later year. The present value and credit effects of this would have to be offset by either lower strike prices, more MWs or a higher up-front fee.  The later might be the more advantageous to TECO/Mosbacher since the project could probably capitalize the fee and amortize it over term without effecting the potential for exceptional returns from high power prices.  It would be helpful to receive some direction from you before I start running more analysis.</w:t>
      </w:r>
    </w:p>
    <w:p>
      <w:pPr>
        <w:pStyle w:val="Normal"/>
        <w:rPr/>
      </w:pPr>
      <w:r>
        <w:rPr/>
      </w:r>
    </w:p>
    <w:p>
      <w:pPr>
        <w:pStyle w:val="Normal"/>
        <w:rPr/>
      </w:pPr>
      <w:r>
        <w:rPr/>
        <w:t>In some respects, I think the real issue is the magnitude with which Enron raised its price.  This is unfortunate and an error on my part for which I apologize.  For that reason, I want to work with you to reach some mutually beneficial accomodation.  Like I’ve always said, when we cross from non-investment grade to investment grade, there is enormous value to be shared between all concerned.</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Donald M. Black</w:t>
      </w:r>
    </w:p>
    <w:p>
      <w:pPr>
        <w:pStyle w:val="Normal"/>
        <w:rPr/>
      </w:pPr>
      <w:r>
        <w:rPr/>
        <w:t>Vice President</w:t>
      </w:r>
    </w:p>
    <w:p>
      <w:pPr>
        <w:pStyle w:val="Normal"/>
        <w:rPr/>
      </w:pPr>
      <w:r>
        <w:rPr/>
      </w:r>
    </w:p>
    <w:p>
      <w:pPr>
        <w:pStyle w:val="Normal"/>
        <w:rPr/>
      </w:pPr>
      <w:r>
        <w:rPr/>
        <w:t>cc:</w:t>
        <w:tab/>
        <w:t>Marshall Tucker, TECO Power Services</w:t>
      </w:r>
    </w:p>
    <w:p>
      <w:pPr>
        <w:pStyle w:val="Normal"/>
        <w:rPr/>
      </w:pPr>
      <w:r>
        <w:rPr/>
        <w:tab/>
        <w:t>Mike Miller, Scott Healy, Lou Stoler - ENA</w:t>
      </w:r>
    </w:p>
    <w:p>
      <w:pPr>
        <w:pStyle w:val="Normal"/>
        <w:rPr/>
      </w:pPr>
      <w:r>
        <w:rPr/>
      </w:r>
    </w:p>
    <w:sectPr>
      <w:type w:val="nextPage"/>
      <w:pgSz w:w="12240" w:h="15840"/>
      <w:pgMar w:left="144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2000-03-16T15:08:00Z</dcterms:created>
  <dc:creator>ECT</dc:creator>
  <dc:description/>
  <dc:language>en-CA</dc:language>
  <cp:lastModifiedBy>ECT</cp:lastModifiedBy>
  <cp:lastPrinted>2000-03-16T13:05:00Z</cp:lastPrinted>
  <dcterms:modified xsi:type="dcterms:W3CDTF">2000-03-16T16:36:00Z</dcterms:modified>
  <cp:revision>5</cp:revision>
  <dc:subject/>
  <dc:title>March 6, 2000</dc:title>
</cp:coreProperties>
</file>