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Fee Agreement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2"/>
        </w:numPr>
        <w:rPr/>
      </w:pPr>
      <w:r>
        <w:rPr/>
        <w:t>Term (generally one year, renewable)</w:t>
      </w:r>
    </w:p>
    <w:p>
      <w:pPr>
        <w:pStyle w:val="Normal"/>
        <w:numPr>
          <w:ilvl w:val="0"/>
          <w:numId w:val="2"/>
        </w:numPr>
        <w:rPr/>
      </w:pPr>
      <w:r>
        <w:rPr/>
        <w:t>Products (exhibit with product-level listing)</w:t>
      </w:r>
    </w:p>
    <w:p>
      <w:pPr>
        <w:pStyle w:val="Normal"/>
        <w:numPr>
          <w:ilvl w:val="0"/>
          <w:numId w:val="2"/>
        </w:numPr>
        <w:rPr/>
      </w:pPr>
      <w:r>
        <w:rPr/>
        <w:t>Fees (annual access fee)</w:t>
      </w:r>
    </w:p>
    <w:p>
      <w:pPr>
        <w:pStyle w:val="Normal"/>
        <w:numPr>
          <w:ilvl w:val="0"/>
          <w:numId w:val="2"/>
        </w:numPr>
        <w:rPr/>
      </w:pPr>
      <w:r>
        <w:rPr/>
        <w:t>Commissions (Enron does not pay commission for transactions executed on EnronOnline)</w:t>
      </w:r>
    </w:p>
    <w:p>
      <w:pPr>
        <w:pStyle w:val="Normal"/>
        <w:numPr>
          <w:ilvl w:val="0"/>
          <w:numId w:val="2"/>
        </w:numPr>
        <w:rPr/>
      </w:pPr>
      <w:r>
        <w:rPr/>
        <w:t>Standard Password Application language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2000-12-06T19:44:00Z</dcterms:created>
  <dc:creator>mtaylo1</dc:creator>
  <dc:description/>
  <dc:language>en-CA</dc:language>
  <cp:lastModifiedBy>rshults</cp:lastModifiedBy>
  <dcterms:modified xsi:type="dcterms:W3CDTF">2000-12-06T19:44:00Z</dcterms:modified>
  <cp:revision>2</cp:revision>
  <dc:subject/>
  <dc:title>Fee Agreement</dc:title>
</cp:coreProperties>
</file>