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Enron Corp., Washington, DC</w:t>
      </w:r>
    </w:p>
    <w:p>
      <w:pPr>
        <w:pStyle w:val="Normal"/>
        <w:rPr/>
      </w:pPr>
      <w:r>
        <w:rPr/>
      </w:r>
    </w:p>
    <w:p>
      <w:pPr>
        <w:pStyle w:val="Normal"/>
        <w:rPr>
          <w:b/>
          <w:bCs/>
        </w:rPr>
      </w:pPr>
      <w:r>
        <w:rPr/>
        <w:t>October 27, 2000</w:t>
      </w:r>
    </w:p>
    <w:p>
      <w:pPr>
        <w:pStyle w:val="Normal"/>
        <w:rPr>
          <w:b/>
          <w:bCs/>
        </w:rPr>
      </w:pPr>
      <w:r>
        <w:rPr>
          <w:b/>
          <w:bCs/>
        </w:rPr>
      </w:r>
    </w:p>
    <w:p>
      <w:pPr>
        <w:pStyle w:val="Normal"/>
        <w:rPr/>
      </w:pPr>
      <w:r>
        <w:rPr>
          <w:b/>
          <w:bCs/>
        </w:rPr>
        <w:t>To:</w:t>
      </w:r>
      <w:r>
        <w:rPr/>
        <w:tab/>
        <w:tab/>
        <w:t>Rick Shapiro</w:t>
      </w:r>
    </w:p>
    <w:p>
      <w:pPr>
        <w:pStyle w:val="Normal"/>
        <w:rPr/>
      </w:pPr>
      <w:r>
        <w:rPr/>
      </w:r>
    </w:p>
    <w:p>
      <w:pPr>
        <w:pStyle w:val="Normal"/>
        <w:rPr/>
      </w:pPr>
      <w:r>
        <w:rPr>
          <w:b/>
          <w:bCs/>
        </w:rPr>
        <w:t>From:</w:t>
      </w:r>
      <w:r>
        <w:rPr/>
        <w:tab/>
        <w:tab/>
        <w:t>Joe Hillings</w:t>
      </w:r>
    </w:p>
    <w:p>
      <w:pPr>
        <w:pStyle w:val="Normal"/>
        <w:rPr/>
      </w:pPr>
      <w:r>
        <w:rPr/>
      </w:r>
    </w:p>
    <w:p>
      <w:pPr>
        <w:pStyle w:val="Normal"/>
        <w:pBdr>
          <w:bottom w:val="single" w:sz="12" w:space="1" w:color="000000"/>
        </w:pBdr>
        <w:rPr/>
      </w:pPr>
      <w:r>
        <w:rPr>
          <w:b/>
          <w:bCs/>
        </w:rPr>
        <w:t>Subject:</w:t>
      </w:r>
      <w:r>
        <w:rPr/>
        <w:tab/>
        <w:t>Discretionary vs. Fixed Budget for 2001, Federal Government Affairs</w:t>
      </w:r>
    </w:p>
    <w:p>
      <w:pPr>
        <w:pStyle w:val="Normal"/>
        <w:rPr/>
      </w:pPr>
      <w:r>
        <w:rPr/>
      </w:r>
    </w:p>
    <w:p>
      <w:pPr>
        <w:pStyle w:val="Normal"/>
        <w:rPr/>
      </w:pPr>
      <w:r>
        <w:rPr/>
        <w:t>As per your request the following is a breakout of the Federal Government Affairs budget.</w:t>
      </w:r>
    </w:p>
    <w:p>
      <w:pPr>
        <w:pStyle w:val="Normal"/>
        <w:rPr/>
      </w:pPr>
      <w:r>
        <w:rPr/>
      </w:r>
    </w:p>
    <w:p>
      <w:pPr>
        <w:pStyle w:val="Normal"/>
        <w:rPr/>
      </w:pPr>
      <w:r>
        <w:rPr/>
        <w:t>1)</w:t>
        <w:tab/>
        <w:t>Proposed Budget Numbers</w:t>
      </w:r>
    </w:p>
    <w:p>
      <w:pPr>
        <w:pStyle w:val="Normal"/>
        <w:ind w:firstLine="720" w:end="0"/>
        <w:rPr/>
      </w:pPr>
      <w:r>
        <w:rPr/>
        <w:t>Total amount budgeted for 2001</w:t>
        <w:tab/>
        <w:tab/>
        <w:t>$5,806,060</w:t>
      </w:r>
    </w:p>
    <w:p>
      <w:pPr>
        <w:pStyle w:val="Normal"/>
        <w:ind w:firstLine="720" w:end="0"/>
        <w:rPr/>
      </w:pPr>
      <w:r>
        <w:rPr/>
        <w:t>Total amount budgeted for 2000</w:t>
        <w:tab/>
        <w:tab/>
        <w:t>$4,871,478</w:t>
      </w:r>
    </w:p>
    <w:p>
      <w:pPr>
        <w:pStyle w:val="Heading1"/>
        <w:ind w:hanging="0" w:start="0"/>
        <w:rPr/>
      </w:pPr>
      <w:r>
        <w:rPr/>
      </w:r>
    </w:p>
    <w:p>
      <w:pPr>
        <w:pStyle w:val="Heading1"/>
        <w:ind w:hanging="0" w:start="0"/>
        <w:rPr>
          <w:b w:val="false"/>
          <w:bCs w:val="false"/>
        </w:rPr>
      </w:pPr>
      <w:r>
        <w:rPr>
          <w:b w:val="false"/>
          <w:bCs w:val="false"/>
        </w:rPr>
        <w:t>2)</w:t>
        <w:tab/>
        <w:t>Increase for 2001</w:t>
        <w:tab/>
        <w:tab/>
        <w:tab/>
        <w:tab/>
        <w:t>$934,582</w:t>
      </w:r>
    </w:p>
    <w:p>
      <w:pPr>
        <w:pStyle w:val="Normal"/>
        <w:ind w:firstLine="720" w:end="0"/>
        <w:rPr/>
      </w:pPr>
      <w:r>
        <w:rPr/>
        <w:t>% of increase</w:t>
        <w:tab/>
        <w:tab/>
        <w:tab/>
        <w:tab/>
        <w:tab/>
        <w:t>19%</w:t>
      </w:r>
    </w:p>
    <w:p>
      <w:pPr>
        <w:pStyle w:val="Normal"/>
        <w:rPr/>
      </w:pPr>
      <w:r>
        <w:rPr/>
      </w:r>
    </w:p>
    <w:p>
      <w:pPr>
        <w:pStyle w:val="Normal"/>
        <w:rPr/>
      </w:pPr>
      <w:r>
        <w:rPr/>
        <w:t>3)</w:t>
        <w:tab/>
        <w:t>Discretionary Funds</w:t>
      </w:r>
    </w:p>
    <w:p>
      <w:pPr>
        <w:pStyle w:val="Normal"/>
        <w:rPr/>
      </w:pPr>
      <w:r>
        <w:rPr/>
      </w:r>
    </w:p>
    <w:p>
      <w:pPr>
        <w:pStyle w:val="Normal"/>
        <w:rPr/>
      </w:pPr>
      <w:r>
        <w:rPr/>
        <w:t xml:space="preserve">Outside counsel and professional services accounts for the largest increase in our budget.  For the 2000 budget we budgeted $989,996 for legal counsel and $450,000 for outside professional services.  </w:t>
      </w:r>
    </w:p>
    <w:p>
      <w:pPr>
        <w:pStyle w:val="Normal"/>
        <w:rPr/>
      </w:pPr>
      <w:r>
        <w:rPr/>
      </w:r>
    </w:p>
    <w:p>
      <w:pPr>
        <w:pStyle w:val="Normal"/>
        <w:rPr/>
      </w:pPr>
      <w:r>
        <w:rPr/>
        <w:t xml:space="preserve">For 2001 we have budgeted $1,152,000 for legal counsel (see attachment), which included the retainers for Akin Gump (Bill Paxon), Vinson &amp; Elkins (Adam Winter and Mike Andrews), Bracewell &amp; Patterson (Gene Godley and Mike Pate), Verner Liipfert and Davis Wright and Tremaine (Craig Gannett).  The retainer with Bill Paxon ends in December.  The remaining law firms are month to month.  </w:t>
      </w:r>
    </w:p>
    <w:p>
      <w:pPr>
        <w:pStyle w:val="Normal"/>
        <w:rPr/>
      </w:pPr>
      <w:r>
        <w:rPr/>
      </w:r>
    </w:p>
    <w:p>
      <w:pPr>
        <w:pStyle w:val="Normal"/>
        <w:rPr/>
      </w:pPr>
      <w:r>
        <w:rPr/>
        <w:t xml:space="preserve">We have greatly reduced our monthly billing with Vison &amp; Elkins and Verner Liipfert since the submission of our 2001 budget. We would be able to reduce the monthly billing to approximately $5,000 per month for each of these law firms for a total cost of $120,000. </w:t>
      </w:r>
    </w:p>
    <w:p>
      <w:pPr>
        <w:pStyle w:val="Normal"/>
        <w:rPr/>
      </w:pPr>
      <w:r>
        <w:rPr/>
      </w:r>
    </w:p>
    <w:p>
      <w:pPr>
        <w:pStyle w:val="Normal"/>
        <w:rPr/>
      </w:pPr>
      <w:r>
        <w:rPr/>
        <w:t>We have not yet renewed a contract with Akin Gump/Bill Paxon but suggest we go forward month to month.</w:t>
      </w:r>
    </w:p>
    <w:p>
      <w:pPr>
        <w:pStyle w:val="Normal"/>
        <w:rPr/>
      </w:pPr>
      <w:r>
        <w:rPr/>
      </w:r>
    </w:p>
    <w:p>
      <w:pPr>
        <w:pStyle w:val="Normal"/>
        <w:rPr/>
      </w:pPr>
      <w:r>
        <w:rPr/>
        <w:t xml:space="preserve">In the 2000 budget we budgeted $450,000 for outside services professional.  In 2001 we have increased the budget to $1,704,000.  This increase reflects the addition of Bob Moss &amp; Associates, Fontheim International and Johnston &amp; Associations.  This also includes money for the Alexander Strategy Group and Fleishman Hillard for electricity restructuring.  </w:t>
      </w:r>
    </w:p>
    <w:p>
      <w:pPr>
        <w:pStyle w:val="Normal"/>
        <w:rPr/>
      </w:pPr>
      <w:r>
        <w:rPr/>
      </w:r>
    </w:p>
    <w:p>
      <w:pPr>
        <w:pStyle w:val="Normal"/>
        <w:rPr/>
      </w:pPr>
      <w:r>
        <w:rPr/>
        <w:t>Currently we have a month-to-month retainer with Fleishman Hillard that runs about $20,000 for various assignments.  However, we have yet to renew their contract for next year.  Alexander Strategy Group’s retainer is up in December.  We have yet to renew their contract.</w:t>
      </w:r>
    </w:p>
    <w:p>
      <w:pPr>
        <w:pStyle w:val="Normal"/>
        <w:rPr/>
      </w:pPr>
      <w:r>
        <w:rPr/>
      </w:r>
    </w:p>
    <w:p>
      <w:pPr>
        <w:pStyle w:val="Normal"/>
        <w:rPr/>
      </w:pPr>
      <w:r>
        <w:rPr/>
        <w:t>Currently we have contracts Bob Moss &amp; Associates (DOD authorization – EFS issue will emerge again in 2001, Fontheim International (Democratic contacts), Hills &amp; Company (WTO – e-commerce, energy services and financial services) and Johnston &amp; Associates (Right of Way).  All are up for renewal in December.  We would propose to renew all of these contracts for 2001.  These contractors have been helpful in assisting Enron with its agenda.</w:t>
      </w:r>
    </w:p>
    <w:p>
      <w:pPr>
        <w:pStyle w:val="Normal"/>
        <w:rPr/>
      </w:pPr>
      <w:r>
        <w:rPr/>
      </w:r>
    </w:p>
    <w:p>
      <w:pPr>
        <w:pStyle w:val="Normal"/>
        <w:rPr/>
      </w:pPr>
      <w:r>
        <w:rPr/>
        <w:t>As one of the founding members of the US Bolivia Business Partnership we agreed to pay the $4,000 for Philip Hughes to be the Executive Director.  My term expires in December and Enron needs to decide if our leadership should be continued.</w:t>
      </w:r>
    </w:p>
    <w:p>
      <w:pPr>
        <w:pStyle w:val="Normal"/>
        <w:rPr/>
      </w:pPr>
      <w:r>
        <w:rPr/>
      </w:r>
    </w:p>
    <w:p>
      <w:pPr>
        <w:pStyle w:val="Normal"/>
        <w:rPr/>
      </w:pPr>
      <w:r>
        <w:rPr/>
        <w:t xml:space="preserve">In the 2001 budget we have budgeted for political “soft money” contributions to be made from our budget.  In the past commitments have been made and we had to find the money from operating units.  However, 2001 we propose to have the political contributions budgeted for and paid for out of the Washington Federal Government Affairs budget.  We have proposed the following distributions in order to maintain our memberships in the various committees.  FYI, we have already made a commitment to contribute $50,000 to the DLC rather than the $25,000 that we had budgeted.  </w:t>
      </w:r>
    </w:p>
    <w:p>
      <w:pPr>
        <w:pStyle w:val="Normal"/>
        <w:rPr/>
      </w:pPr>
      <w:r>
        <w:rPr/>
      </w:r>
    </w:p>
    <w:p>
      <w:pPr>
        <w:pStyle w:val="Heading1"/>
        <w:ind w:hanging="0" w:start="720" w:end="0"/>
        <w:rPr/>
      </w:pPr>
      <w:r>
        <w:rPr/>
        <w:t>Corporate (Soft Money) Contributions</w:t>
      </w:r>
    </w:p>
    <w:p>
      <w:pPr>
        <w:pStyle w:val="Normal"/>
        <w:ind w:start="720" w:end="0"/>
        <w:rPr/>
      </w:pPr>
      <w:r>
        <w:rPr/>
      </w:r>
    </w:p>
    <w:p>
      <w:pPr>
        <w:pStyle w:val="Normal"/>
        <w:ind w:start="720" w:end="0"/>
        <w:rPr/>
      </w:pPr>
      <w:r>
        <w:rPr/>
        <w:t xml:space="preserve">Republican </w:t>
      </w:r>
    </w:p>
    <w:p>
      <w:pPr>
        <w:pStyle w:val="Normal"/>
        <w:ind w:start="720" w:end="0"/>
        <w:rPr/>
      </w:pPr>
      <w:r>
        <w:rPr/>
        <w:t xml:space="preserve">RNC </w:t>
        <w:tab/>
        <w:tab/>
        <w:tab/>
        <w:tab/>
        <w:t>$100,000</w:t>
      </w:r>
    </w:p>
    <w:p>
      <w:pPr>
        <w:pStyle w:val="Normal"/>
        <w:ind w:start="720" w:end="0"/>
        <w:rPr/>
      </w:pPr>
      <w:r>
        <w:rPr/>
        <w:t>NRCC</w:t>
        <w:tab/>
        <w:tab/>
        <w:tab/>
        <w:tab/>
        <w:t>$100,000</w:t>
      </w:r>
    </w:p>
    <w:p>
      <w:pPr>
        <w:pStyle w:val="Normal"/>
        <w:ind w:start="720" w:end="0"/>
        <w:rPr/>
      </w:pPr>
      <w:r>
        <w:rPr/>
        <w:t>NRSC</w:t>
        <w:tab/>
        <w:tab/>
        <w:tab/>
        <w:tab/>
        <w:t>$100,000</w:t>
      </w:r>
    </w:p>
    <w:p>
      <w:pPr>
        <w:pStyle w:val="Normal"/>
        <w:ind w:start="720" w:end="0"/>
        <w:rPr/>
      </w:pPr>
      <w:r>
        <w:rPr/>
        <w:t>IRI</w:t>
        <w:tab/>
        <w:tab/>
        <w:tab/>
        <w:tab/>
        <w:t>$10,000</w:t>
      </w:r>
    </w:p>
    <w:p>
      <w:pPr>
        <w:pStyle w:val="Normal"/>
        <w:ind w:start="720" w:end="0"/>
        <w:rPr/>
      </w:pPr>
      <w:r>
        <w:rPr/>
        <w:tab/>
        <w:tab/>
        <w:tab/>
        <w:tab/>
      </w:r>
      <w:r>
        <w:rPr>
          <w:b/>
        </w:rPr>
        <w:t>$310,000</w:t>
      </w:r>
    </w:p>
    <w:p>
      <w:pPr>
        <w:pStyle w:val="Normal"/>
        <w:ind w:start="720" w:end="0"/>
        <w:rPr>
          <w:b/>
        </w:rPr>
      </w:pPr>
      <w:r>
        <w:rPr>
          <w:b/>
        </w:rPr>
      </w:r>
    </w:p>
    <w:p>
      <w:pPr>
        <w:pStyle w:val="Normal"/>
        <w:ind w:start="720" w:end="0"/>
        <w:rPr/>
      </w:pPr>
      <w:r>
        <w:rPr/>
        <w:t>Democratic</w:t>
      </w:r>
    </w:p>
    <w:p>
      <w:pPr>
        <w:pStyle w:val="Normal"/>
        <w:ind w:start="720" w:end="0"/>
        <w:rPr/>
      </w:pPr>
      <w:r>
        <w:rPr/>
        <w:t>DNC</w:t>
        <w:tab/>
        <w:tab/>
        <w:tab/>
        <w:tab/>
        <w:t>$100,000</w:t>
      </w:r>
    </w:p>
    <w:p>
      <w:pPr>
        <w:pStyle w:val="Normal"/>
        <w:ind w:start="720" w:end="0"/>
        <w:rPr/>
      </w:pPr>
      <w:r>
        <w:rPr/>
        <w:t>DSCC</w:t>
        <w:tab/>
        <w:tab/>
        <w:tab/>
        <w:tab/>
        <w:t>$50,000</w:t>
      </w:r>
    </w:p>
    <w:p>
      <w:pPr>
        <w:pStyle w:val="Normal"/>
        <w:ind w:start="720" w:end="0"/>
        <w:rPr/>
      </w:pPr>
      <w:r>
        <w:rPr/>
        <w:t>DCCC</w:t>
        <w:tab/>
        <w:tab/>
        <w:tab/>
        <w:tab/>
        <w:t>$50,000</w:t>
      </w:r>
    </w:p>
    <w:p>
      <w:pPr>
        <w:pStyle w:val="Normal"/>
        <w:ind w:start="720" w:end="0"/>
        <w:rPr/>
      </w:pPr>
      <w:r>
        <w:rPr/>
        <w:t>DLC</w:t>
        <w:tab/>
        <w:tab/>
        <w:tab/>
        <w:tab/>
        <w:t>$25,000</w:t>
      </w:r>
    </w:p>
    <w:p>
      <w:pPr>
        <w:pStyle w:val="Normal"/>
        <w:ind w:start="720" w:end="0"/>
        <w:rPr/>
      </w:pPr>
      <w:r>
        <w:rPr/>
        <w:t>NDN</w:t>
        <w:tab/>
        <w:tab/>
        <w:tab/>
        <w:tab/>
        <w:t>$10,000</w:t>
      </w:r>
    </w:p>
    <w:p>
      <w:pPr>
        <w:pStyle w:val="Normal"/>
        <w:ind w:start="720" w:end="0"/>
        <w:rPr/>
      </w:pPr>
      <w:r>
        <w:rPr/>
        <w:t>NDI</w:t>
        <w:tab/>
        <w:tab/>
        <w:tab/>
        <w:tab/>
        <w:t>$10,000</w:t>
      </w:r>
    </w:p>
    <w:p>
      <w:pPr>
        <w:pStyle w:val="Normal"/>
        <w:ind w:start="720" w:end="0"/>
        <w:rPr/>
      </w:pPr>
      <w:r>
        <w:rPr/>
        <w:tab/>
        <w:tab/>
        <w:tab/>
        <w:tab/>
      </w:r>
      <w:r>
        <w:rPr>
          <w:b/>
        </w:rPr>
        <w:t>$245,000</w:t>
      </w:r>
    </w:p>
    <w:p>
      <w:pPr>
        <w:pStyle w:val="Normal"/>
        <w:ind w:start="720" w:end="0"/>
        <w:rPr>
          <w:b/>
        </w:rPr>
      </w:pPr>
      <w:r>
        <w:rPr>
          <w:b/>
        </w:rPr>
      </w:r>
    </w:p>
    <w:p>
      <w:pPr>
        <w:pStyle w:val="Heading2"/>
        <w:ind w:hanging="0" w:start="720" w:end="0"/>
        <w:rPr>
          <w:sz w:val="24"/>
        </w:rPr>
      </w:pPr>
      <w:r>
        <w:rPr>
          <w:sz w:val="24"/>
        </w:rPr>
        <w:t>Total</w:t>
        <w:tab/>
        <w:tab/>
        <w:tab/>
        <w:tab/>
        <w:t>$555,000</w:t>
      </w:r>
    </w:p>
    <w:p>
      <w:pPr>
        <w:pStyle w:val="Normal"/>
        <w:rPr/>
      </w:pPr>
      <w:r>
        <w:rPr/>
        <w:tab/>
        <w:t>DLC increase</w:t>
        <w:tab/>
        <w:tab/>
        <w:tab/>
        <w:t>$25,000</w:t>
      </w:r>
    </w:p>
    <w:p>
      <w:pPr>
        <w:pStyle w:val="Normal"/>
        <w:rPr/>
      </w:pPr>
      <w:r>
        <w:rPr/>
        <w:tab/>
      </w:r>
      <w:r>
        <w:rPr>
          <w:b/>
          <w:bCs/>
        </w:rPr>
        <w:t>TOTAL</w:t>
        <w:tab/>
        <w:tab/>
        <w:tab/>
        <w:t>$580,000</w:t>
      </w:r>
    </w:p>
    <w:p>
      <w:pPr>
        <w:pStyle w:val="Normal"/>
        <w:rPr>
          <w:b/>
          <w:bCs/>
        </w:rPr>
      </w:pPr>
      <w:r>
        <w:rPr>
          <w:b/>
          <w:bCs/>
        </w:rPr>
      </w:r>
    </w:p>
    <w:p>
      <w:pPr>
        <w:pStyle w:val="Normal"/>
        <w:rPr/>
      </w:pPr>
      <w:r>
        <w:rPr/>
        <w:t xml:space="preserve">We have decreased the expenses for company membership and dues by $20,396.  In 2000 we budgeted $989,996 and in 2001 we have budgeted $969,600.  The budget item not only includes corporate memberships but also sponsorship of Washington events. </w:t>
      </w:r>
    </w:p>
    <w:p>
      <w:pPr>
        <w:pStyle w:val="Normal"/>
        <w:rPr/>
      </w:pPr>
      <w:r>
        <w:rPr/>
      </w:r>
      <w:r>
        <w:br w:type="page"/>
      </w:r>
    </w:p>
    <w:p>
      <w:pPr>
        <w:pStyle w:val="Normal"/>
        <w:rPr/>
      </w:pPr>
      <w:r>
        <w:rPr/>
        <w:t>4)</w:t>
        <w:tab/>
        <w:t>Fixed Costs</w:t>
      </w:r>
    </w:p>
    <w:p>
      <w:pPr>
        <w:pStyle w:val="Normal"/>
        <w:rPr/>
      </w:pPr>
      <w:r>
        <w:rPr/>
      </w:r>
    </w:p>
    <w:p>
      <w:pPr>
        <w:pStyle w:val="Normal"/>
        <w:rPr/>
      </w:pPr>
      <w:r>
        <w:rPr/>
        <w:t>Our fixed costs include our employee expenses, general business expenses (supplies and communications) computer expenses, postage and freight, subscriptions (which includes our on-line legislative tracking service), supplies and rent (office and equipment).  These costs have been constant and have remained within inflation projections.</w:t>
      </w:r>
    </w:p>
    <w:p>
      <w:pPr>
        <w:pStyle w:val="Normal"/>
        <w:rPr/>
      </w:pPr>
      <w:r>
        <w:rPr/>
      </w:r>
    </w:p>
    <w:p>
      <w:pPr>
        <w:pStyle w:val="Normal"/>
        <w:rPr/>
      </w:pPr>
      <w:r>
        <w:rPr/>
        <w:tab/>
      </w:r>
      <w:r>
        <w:rPr>
          <w:b/>
          <w:bCs/>
        </w:rPr>
        <w:t>Total for fixed costs</w:t>
        <w:tab/>
        <w:tab/>
        <w:t>$1,051,440</w:t>
      </w:r>
    </w:p>
    <w:p>
      <w:pPr>
        <w:pStyle w:val="Normal"/>
        <w:rPr>
          <w:b/>
          <w:bCs/>
        </w:rPr>
      </w:pPr>
      <w:r>
        <w:rPr>
          <w:b/>
          <w:bCs/>
        </w:rPr>
        <w:tab/>
        <w:t>Total for discretionary</w:t>
        <w:tab/>
        <w:t>$4,748,620</w:t>
      </w:r>
    </w:p>
    <w:p>
      <w:pPr>
        <w:pStyle w:val="Normal"/>
        <w:rPr>
          <w:b/>
          <w:bCs/>
        </w:rPr>
      </w:pPr>
      <w:r>
        <w:rPr>
          <w:b/>
          <w:bCs/>
        </w:rPr>
      </w:r>
    </w:p>
    <w:p>
      <w:pPr>
        <w:sectPr>
          <w:type w:val="nextPage"/>
          <w:pgSz w:w="12240" w:h="15840"/>
          <w:pgMar w:left="1800" w:right="1800" w:gutter="0" w:header="0" w:top="1440" w:footer="0" w:bottom="1440"/>
          <w:pgNumType w:fmt="decimal"/>
          <w:formProt w:val="false"/>
          <w:textDirection w:val="lrTb"/>
          <w:docGrid w:type="default" w:linePitch="360" w:charSpace="0"/>
        </w:sectPr>
        <w:pStyle w:val="Normal"/>
        <w:rPr/>
      </w:pPr>
      <w:r>
        <w:rPr/>
      </w:r>
    </w:p>
    <w:p>
      <w:pPr>
        <w:pStyle w:val="Heading1"/>
        <w:ind w:hanging="0" w:start="0"/>
        <w:jc w:val="center"/>
        <w:rPr>
          <w:b w:val="false"/>
          <w:sz w:val="32"/>
        </w:rPr>
      </w:pPr>
      <w:r>
        <w:rPr>
          <w:b w:val="false"/>
          <w:sz w:val="32"/>
        </w:rPr>
        <w:t>Current 2000 Outside Consultants</w:t>
      </w:r>
    </w:p>
    <w:p>
      <w:pPr>
        <w:pStyle w:val="Normal"/>
        <w:rPr>
          <w:b/>
          <w:sz w:val="32"/>
        </w:rPr>
      </w:pPr>
      <w:r>
        <w:rPr>
          <w:b/>
          <w:sz w:val="32"/>
        </w:rPr>
      </w:r>
    </w:p>
    <w:p>
      <w:pPr>
        <w:pStyle w:val="Normal"/>
        <w:rPr/>
      </w:pPr>
      <w:r>
        <w:rPr/>
      </w:r>
    </w:p>
    <w:tbl>
      <w:tblPr>
        <w:tblW w:w="13788" w:type="dxa"/>
        <w:jc w:val="start"/>
        <w:tblInd w:w="0" w:type="dxa"/>
        <w:tblLayout w:type="fixed"/>
        <w:tblCellMar>
          <w:top w:w="0" w:type="dxa"/>
          <w:start w:w="108" w:type="dxa"/>
          <w:bottom w:w="0" w:type="dxa"/>
          <w:end w:w="108" w:type="dxa"/>
        </w:tblCellMar>
      </w:tblPr>
      <w:tblGrid>
        <w:gridCol w:w="2880"/>
        <w:gridCol w:w="3168"/>
        <w:gridCol w:w="1728"/>
        <w:gridCol w:w="3600"/>
        <w:gridCol w:w="2412"/>
      </w:tblGrid>
      <w:tr>
        <w:trPr/>
        <w:tc>
          <w:tcPr>
            <w:tcW w:w="2880" w:type="dxa"/>
            <w:tcBorders>
              <w:top w:val="single" w:sz="6" w:space="0" w:color="000080"/>
              <w:start w:val="single" w:sz="6" w:space="0" w:color="000080"/>
              <w:bottom w:val="single" w:sz="6" w:space="0" w:color="000080"/>
              <w:end w:val="single" w:sz="6" w:space="0" w:color="000080"/>
            </w:tcBorders>
            <w:shd w:fill="000080" w:val="clear"/>
          </w:tcPr>
          <w:p>
            <w:pPr>
              <w:pStyle w:val="Normal"/>
              <w:rPr>
                <w:b/>
                <w:color w:val="FFFFFF"/>
              </w:rPr>
            </w:pPr>
            <w:r>
              <w:rPr>
                <w:b/>
                <w:color w:val="FFFFFF"/>
              </w:rPr>
              <w:t>Firm</w:t>
            </w:r>
          </w:p>
        </w:tc>
        <w:tc>
          <w:tcPr>
            <w:tcW w:w="3168" w:type="dxa"/>
            <w:tcBorders>
              <w:top w:val="single" w:sz="6" w:space="0" w:color="000080"/>
              <w:start w:val="single" w:sz="6" w:space="0" w:color="000080"/>
              <w:bottom w:val="single" w:sz="6" w:space="0" w:color="000080"/>
              <w:end w:val="single" w:sz="6" w:space="0" w:color="000080"/>
            </w:tcBorders>
            <w:shd w:fill="000080" w:val="clear"/>
          </w:tcPr>
          <w:p>
            <w:pPr>
              <w:pStyle w:val="Normal"/>
              <w:rPr>
                <w:b/>
                <w:color w:val="FFFFFF"/>
              </w:rPr>
            </w:pPr>
            <w:r>
              <w:rPr>
                <w:b/>
                <w:color w:val="FFFFFF"/>
              </w:rPr>
              <w:t>Issue</w:t>
            </w:r>
          </w:p>
        </w:tc>
        <w:tc>
          <w:tcPr>
            <w:tcW w:w="1728" w:type="dxa"/>
            <w:tcBorders>
              <w:top w:val="single" w:sz="6" w:space="0" w:color="000080"/>
              <w:start w:val="single" w:sz="6" w:space="0" w:color="000080"/>
              <w:bottom w:val="single" w:sz="6" w:space="0" w:color="000080"/>
              <w:end w:val="single" w:sz="6" w:space="0" w:color="000080"/>
            </w:tcBorders>
            <w:shd w:fill="000080" w:val="clear"/>
          </w:tcPr>
          <w:p>
            <w:pPr>
              <w:pStyle w:val="Normal"/>
              <w:rPr>
                <w:b/>
                <w:color w:val="FFFFFF"/>
              </w:rPr>
            </w:pPr>
            <w:r>
              <w:rPr>
                <w:b/>
                <w:color w:val="FFFFFF"/>
              </w:rPr>
              <w:t>Contact(s)</w:t>
            </w:r>
          </w:p>
        </w:tc>
        <w:tc>
          <w:tcPr>
            <w:tcW w:w="3600" w:type="dxa"/>
            <w:tcBorders>
              <w:top w:val="single" w:sz="6" w:space="0" w:color="000080"/>
              <w:start w:val="single" w:sz="6" w:space="0" w:color="000080"/>
              <w:bottom w:val="single" w:sz="6" w:space="0" w:color="000080"/>
              <w:end w:val="single" w:sz="6" w:space="0" w:color="000080"/>
            </w:tcBorders>
            <w:shd w:fill="000080" w:val="clear"/>
          </w:tcPr>
          <w:p>
            <w:pPr>
              <w:pStyle w:val="Normal"/>
              <w:rPr>
                <w:b/>
                <w:color w:val="FFFFFF"/>
              </w:rPr>
            </w:pPr>
            <w:r>
              <w:rPr>
                <w:b/>
                <w:color w:val="FFFFFF"/>
              </w:rPr>
              <w:t>Monthly Retainer</w:t>
            </w:r>
          </w:p>
        </w:tc>
        <w:tc>
          <w:tcPr>
            <w:tcW w:w="2412" w:type="dxa"/>
            <w:tcBorders>
              <w:top w:val="single" w:sz="6" w:space="0" w:color="000080"/>
              <w:start w:val="single" w:sz="6" w:space="0" w:color="000080"/>
              <w:bottom w:val="single" w:sz="6" w:space="0" w:color="000080"/>
              <w:end w:val="single" w:sz="6" w:space="0" w:color="000080"/>
            </w:tcBorders>
            <w:shd w:fill="000080" w:val="clear"/>
          </w:tcPr>
          <w:p>
            <w:pPr>
              <w:pStyle w:val="Normal"/>
              <w:rPr>
                <w:b/>
                <w:color w:val="FFFFFF"/>
              </w:rPr>
            </w:pPr>
            <w:r>
              <w:rPr>
                <w:b/>
                <w:color w:val="FFFFFF"/>
              </w:rPr>
              <w:t>Term of Contract</w:t>
            </w:r>
          </w:p>
        </w:tc>
      </w:tr>
      <w:tr>
        <w:trPr/>
        <w:tc>
          <w:tcPr>
            <w:tcW w:w="2880" w:type="dxa"/>
            <w:tcBorders>
              <w:top w:val="single" w:sz="6" w:space="0" w:color="000080"/>
              <w:start w:val="single" w:sz="6" w:space="0" w:color="000080"/>
              <w:bottom w:val="single" w:sz="6" w:space="0" w:color="000080"/>
              <w:end w:val="single" w:sz="6" w:space="0" w:color="000080"/>
            </w:tcBorders>
          </w:tcPr>
          <w:p>
            <w:pPr>
              <w:pStyle w:val="Normal"/>
              <w:rPr/>
            </w:pPr>
            <w:r>
              <w:rPr/>
              <w:t>Akin Gump</w:t>
            </w:r>
          </w:p>
        </w:tc>
        <w:tc>
          <w:tcPr>
            <w:tcW w:w="3168" w:type="dxa"/>
            <w:tcBorders>
              <w:top w:val="single" w:sz="6" w:space="0" w:color="000080"/>
              <w:start w:val="single" w:sz="6" w:space="0" w:color="000080"/>
              <w:bottom w:val="single" w:sz="6" w:space="0" w:color="000080"/>
              <w:end w:val="single" w:sz="6" w:space="0" w:color="000080"/>
            </w:tcBorders>
          </w:tcPr>
          <w:p>
            <w:pPr>
              <w:pStyle w:val="Normal"/>
              <w:rPr/>
            </w:pPr>
            <w:r>
              <w:rPr/>
              <w:t>Electricity Deregulation</w:t>
            </w:r>
          </w:p>
        </w:tc>
        <w:tc>
          <w:tcPr>
            <w:tcW w:w="1728" w:type="dxa"/>
            <w:tcBorders>
              <w:top w:val="single" w:sz="6" w:space="0" w:color="000080"/>
              <w:start w:val="single" w:sz="6" w:space="0" w:color="000080"/>
              <w:bottom w:val="single" w:sz="6" w:space="0" w:color="000080"/>
              <w:end w:val="single" w:sz="6" w:space="0" w:color="000080"/>
            </w:tcBorders>
          </w:tcPr>
          <w:p>
            <w:pPr>
              <w:pStyle w:val="Normal"/>
              <w:rPr/>
            </w:pPr>
            <w:r>
              <w:rPr/>
              <w:t>Bill Paxon</w:t>
            </w:r>
          </w:p>
          <w:p>
            <w:pPr>
              <w:pStyle w:val="Normal"/>
              <w:rPr/>
            </w:pPr>
            <w:r>
              <w:rPr/>
              <w:t>Susan Lent</w:t>
            </w:r>
          </w:p>
        </w:tc>
        <w:tc>
          <w:tcPr>
            <w:tcW w:w="3600" w:type="dxa"/>
            <w:tcBorders>
              <w:top w:val="single" w:sz="6" w:space="0" w:color="000080"/>
              <w:start w:val="single" w:sz="6" w:space="0" w:color="000080"/>
              <w:bottom w:val="single" w:sz="6" w:space="0" w:color="000080"/>
              <w:end w:val="single" w:sz="6" w:space="0" w:color="000080"/>
            </w:tcBorders>
          </w:tcPr>
          <w:p>
            <w:pPr>
              <w:pStyle w:val="Normal"/>
              <w:rPr/>
            </w:pPr>
            <w:r>
              <w:rPr/>
              <w:t>$26,000</w:t>
            </w:r>
          </w:p>
        </w:tc>
        <w:tc>
          <w:tcPr>
            <w:tcW w:w="2412" w:type="dxa"/>
            <w:tcBorders>
              <w:top w:val="single" w:sz="6" w:space="0" w:color="000080"/>
              <w:start w:val="single" w:sz="6" w:space="0" w:color="000080"/>
              <w:bottom w:val="single" w:sz="6" w:space="0" w:color="000080"/>
              <w:end w:val="single" w:sz="6" w:space="0" w:color="000080"/>
            </w:tcBorders>
          </w:tcPr>
          <w:p>
            <w:pPr>
              <w:pStyle w:val="Normal"/>
              <w:rPr/>
            </w:pPr>
            <w:r>
              <w:rPr/>
              <w:t>December 2000</w:t>
            </w:r>
          </w:p>
        </w:tc>
      </w:tr>
      <w:tr>
        <w:trPr/>
        <w:tc>
          <w:tcPr>
            <w:tcW w:w="2880" w:type="dxa"/>
            <w:tcBorders>
              <w:top w:val="single" w:sz="6" w:space="0" w:color="000080"/>
              <w:start w:val="single" w:sz="6" w:space="0" w:color="000080"/>
              <w:bottom w:val="single" w:sz="6" w:space="0" w:color="000080"/>
              <w:end w:val="single" w:sz="6" w:space="0" w:color="000080"/>
            </w:tcBorders>
          </w:tcPr>
          <w:p>
            <w:pPr>
              <w:pStyle w:val="Normal"/>
              <w:rPr/>
            </w:pPr>
            <w:r>
              <w:rPr/>
              <w:t>Alexander Strategy Group</w:t>
            </w:r>
          </w:p>
        </w:tc>
        <w:tc>
          <w:tcPr>
            <w:tcW w:w="3168" w:type="dxa"/>
            <w:tcBorders>
              <w:top w:val="single" w:sz="6" w:space="0" w:color="000080"/>
              <w:start w:val="single" w:sz="6" w:space="0" w:color="000080"/>
              <w:bottom w:val="single" w:sz="6" w:space="0" w:color="000080"/>
              <w:end w:val="single" w:sz="6" w:space="0" w:color="000080"/>
            </w:tcBorders>
          </w:tcPr>
          <w:p>
            <w:pPr>
              <w:pStyle w:val="Normal"/>
              <w:rPr/>
            </w:pPr>
            <w:r>
              <w:rPr/>
              <w:t>Saipan</w:t>
            </w:r>
          </w:p>
          <w:p>
            <w:pPr>
              <w:pStyle w:val="Normal"/>
              <w:rPr/>
            </w:pPr>
            <w:r>
              <w:rPr/>
              <w:t>Electricity Deregulation</w:t>
            </w:r>
          </w:p>
        </w:tc>
        <w:tc>
          <w:tcPr>
            <w:tcW w:w="1728" w:type="dxa"/>
            <w:tcBorders>
              <w:top w:val="single" w:sz="6" w:space="0" w:color="000080"/>
              <w:start w:val="single" w:sz="6" w:space="0" w:color="000080"/>
              <w:bottom w:val="single" w:sz="6" w:space="0" w:color="000080"/>
              <w:end w:val="single" w:sz="6" w:space="0" w:color="000080"/>
            </w:tcBorders>
          </w:tcPr>
          <w:p>
            <w:pPr>
              <w:pStyle w:val="Normal"/>
              <w:rPr/>
            </w:pPr>
            <w:r>
              <w:rPr/>
              <w:t>Karl Gallant</w:t>
            </w:r>
          </w:p>
          <w:p>
            <w:pPr>
              <w:pStyle w:val="Normal"/>
              <w:rPr/>
            </w:pPr>
            <w:r>
              <w:rPr/>
              <w:t>Ed Buckham</w:t>
            </w:r>
          </w:p>
        </w:tc>
        <w:tc>
          <w:tcPr>
            <w:tcW w:w="3600" w:type="dxa"/>
            <w:tcBorders>
              <w:top w:val="single" w:sz="6" w:space="0" w:color="000080"/>
              <w:start w:val="single" w:sz="6" w:space="0" w:color="000080"/>
              <w:bottom w:val="single" w:sz="6" w:space="0" w:color="000080"/>
              <w:end w:val="single" w:sz="6" w:space="0" w:color="000080"/>
            </w:tcBorders>
          </w:tcPr>
          <w:p>
            <w:pPr>
              <w:pStyle w:val="Normal"/>
              <w:rPr/>
            </w:pPr>
            <w:r>
              <w:rPr/>
              <w:t>$20,000</w:t>
            </w:r>
          </w:p>
        </w:tc>
        <w:tc>
          <w:tcPr>
            <w:tcW w:w="2412" w:type="dxa"/>
            <w:tcBorders>
              <w:top w:val="single" w:sz="6" w:space="0" w:color="000080"/>
              <w:start w:val="single" w:sz="6" w:space="0" w:color="000080"/>
              <w:bottom w:val="single" w:sz="6" w:space="0" w:color="000080"/>
              <w:end w:val="single" w:sz="6" w:space="0" w:color="000080"/>
            </w:tcBorders>
          </w:tcPr>
          <w:p>
            <w:pPr>
              <w:pStyle w:val="Normal"/>
              <w:rPr/>
            </w:pPr>
            <w:r>
              <w:rPr/>
              <w:t>December 2000</w:t>
            </w:r>
          </w:p>
        </w:tc>
      </w:tr>
      <w:tr>
        <w:trPr/>
        <w:tc>
          <w:tcPr>
            <w:tcW w:w="2880" w:type="dxa"/>
            <w:tcBorders>
              <w:top w:val="single" w:sz="6" w:space="0" w:color="000080"/>
              <w:start w:val="single" w:sz="6" w:space="0" w:color="000080"/>
              <w:bottom w:val="single" w:sz="6" w:space="0" w:color="000080"/>
              <w:end w:val="single" w:sz="6" w:space="0" w:color="000080"/>
            </w:tcBorders>
          </w:tcPr>
          <w:p>
            <w:pPr>
              <w:pStyle w:val="Normal"/>
              <w:rPr/>
            </w:pPr>
            <w:r>
              <w:rPr/>
              <w:t>Bob Moss Associates</w:t>
            </w:r>
          </w:p>
        </w:tc>
        <w:tc>
          <w:tcPr>
            <w:tcW w:w="3168" w:type="dxa"/>
            <w:tcBorders>
              <w:top w:val="single" w:sz="6" w:space="0" w:color="000080"/>
              <w:start w:val="single" w:sz="6" w:space="0" w:color="000080"/>
              <w:bottom w:val="single" w:sz="6" w:space="0" w:color="000080"/>
              <w:end w:val="single" w:sz="6" w:space="0" w:color="000080"/>
            </w:tcBorders>
          </w:tcPr>
          <w:p>
            <w:pPr>
              <w:pStyle w:val="Normal"/>
              <w:rPr/>
            </w:pPr>
            <w:r>
              <w:rPr/>
              <w:t>DOD Reauthorization</w:t>
            </w:r>
          </w:p>
        </w:tc>
        <w:tc>
          <w:tcPr>
            <w:tcW w:w="1728" w:type="dxa"/>
            <w:tcBorders>
              <w:top w:val="single" w:sz="6" w:space="0" w:color="000080"/>
              <w:start w:val="single" w:sz="6" w:space="0" w:color="000080"/>
              <w:bottom w:val="single" w:sz="6" w:space="0" w:color="000080"/>
              <w:end w:val="single" w:sz="6" w:space="0" w:color="000080"/>
            </w:tcBorders>
          </w:tcPr>
          <w:p>
            <w:pPr>
              <w:pStyle w:val="Normal"/>
              <w:rPr/>
            </w:pPr>
            <w:r>
              <w:rPr/>
              <w:t>Bob Moss</w:t>
            </w:r>
          </w:p>
        </w:tc>
        <w:tc>
          <w:tcPr>
            <w:tcW w:w="3600" w:type="dxa"/>
            <w:tcBorders>
              <w:top w:val="single" w:sz="6" w:space="0" w:color="000080"/>
              <w:start w:val="single" w:sz="6" w:space="0" w:color="000080"/>
              <w:bottom w:val="single" w:sz="6" w:space="0" w:color="000080"/>
              <w:end w:val="single" w:sz="6" w:space="0" w:color="000080"/>
            </w:tcBorders>
          </w:tcPr>
          <w:p>
            <w:pPr>
              <w:pStyle w:val="Normal"/>
              <w:rPr/>
            </w:pPr>
            <w:r>
              <w:rPr/>
              <w:t>$8,000</w:t>
            </w:r>
          </w:p>
        </w:tc>
        <w:tc>
          <w:tcPr>
            <w:tcW w:w="2412" w:type="dxa"/>
            <w:tcBorders>
              <w:top w:val="single" w:sz="6" w:space="0" w:color="000080"/>
              <w:start w:val="single" w:sz="6" w:space="0" w:color="000080"/>
              <w:bottom w:val="single" w:sz="6" w:space="0" w:color="000080"/>
              <w:end w:val="single" w:sz="6" w:space="0" w:color="000080"/>
            </w:tcBorders>
          </w:tcPr>
          <w:p>
            <w:pPr>
              <w:pStyle w:val="Normal"/>
              <w:rPr/>
            </w:pPr>
            <w:r>
              <w:rPr/>
              <w:t>December 2000</w:t>
            </w:r>
          </w:p>
        </w:tc>
      </w:tr>
      <w:tr>
        <w:trPr/>
        <w:tc>
          <w:tcPr>
            <w:tcW w:w="2880" w:type="dxa"/>
            <w:tcBorders>
              <w:top w:val="single" w:sz="6" w:space="0" w:color="000080"/>
              <w:start w:val="single" w:sz="6" w:space="0" w:color="000080"/>
              <w:bottom w:val="single" w:sz="6" w:space="0" w:color="000080"/>
              <w:end w:val="single" w:sz="6" w:space="0" w:color="000080"/>
            </w:tcBorders>
          </w:tcPr>
          <w:p>
            <w:pPr>
              <w:pStyle w:val="Normal"/>
              <w:rPr/>
            </w:pPr>
            <w:r>
              <w:rPr/>
              <w:t>Bracewell &amp; Patterson</w:t>
            </w:r>
          </w:p>
        </w:tc>
        <w:tc>
          <w:tcPr>
            <w:tcW w:w="3168" w:type="dxa"/>
            <w:tcBorders>
              <w:top w:val="single" w:sz="6" w:space="0" w:color="000080"/>
              <w:start w:val="single" w:sz="6" w:space="0" w:color="000080"/>
              <w:bottom w:val="single" w:sz="6" w:space="0" w:color="000080"/>
              <w:end w:val="single" w:sz="6" w:space="0" w:color="000080"/>
            </w:tcBorders>
          </w:tcPr>
          <w:p>
            <w:pPr>
              <w:pStyle w:val="Normal"/>
              <w:rPr/>
            </w:pPr>
            <w:r>
              <w:rPr/>
              <w:t>Legislative Issues</w:t>
            </w:r>
          </w:p>
        </w:tc>
        <w:tc>
          <w:tcPr>
            <w:tcW w:w="1728" w:type="dxa"/>
            <w:tcBorders>
              <w:top w:val="single" w:sz="6" w:space="0" w:color="000080"/>
              <w:start w:val="single" w:sz="6" w:space="0" w:color="000080"/>
              <w:bottom w:val="single" w:sz="6" w:space="0" w:color="000080"/>
              <w:end w:val="single" w:sz="6" w:space="0" w:color="000080"/>
            </w:tcBorders>
          </w:tcPr>
          <w:p>
            <w:pPr>
              <w:pStyle w:val="Normal"/>
              <w:rPr/>
            </w:pPr>
            <w:r>
              <w:rPr/>
              <w:t>Ed Bethune</w:t>
            </w:r>
          </w:p>
          <w:p>
            <w:pPr>
              <w:pStyle w:val="Normal"/>
              <w:rPr/>
            </w:pPr>
            <w:r>
              <w:rPr/>
              <w:t>Jim Chapman</w:t>
            </w:r>
          </w:p>
          <w:p>
            <w:pPr>
              <w:pStyle w:val="Normal"/>
              <w:rPr/>
            </w:pPr>
            <w:r>
              <w:rPr/>
              <w:t>Gene Godley</w:t>
            </w:r>
          </w:p>
          <w:p>
            <w:pPr>
              <w:pStyle w:val="Normal"/>
              <w:rPr/>
            </w:pPr>
            <w:r>
              <w:rPr/>
              <w:t>Mike Pate</w:t>
            </w:r>
          </w:p>
        </w:tc>
        <w:tc>
          <w:tcPr>
            <w:tcW w:w="3600" w:type="dxa"/>
            <w:tcBorders>
              <w:top w:val="single" w:sz="6" w:space="0" w:color="000080"/>
              <w:start w:val="single" w:sz="6" w:space="0" w:color="000080"/>
              <w:bottom w:val="single" w:sz="6" w:space="0" w:color="000080"/>
              <w:end w:val="single" w:sz="6" w:space="0" w:color="000080"/>
            </w:tcBorders>
          </w:tcPr>
          <w:p>
            <w:pPr>
              <w:pStyle w:val="Normal"/>
              <w:rPr/>
            </w:pPr>
            <w:r>
              <w:rPr/>
              <w:t>$12,000</w:t>
            </w:r>
          </w:p>
        </w:tc>
        <w:tc>
          <w:tcPr>
            <w:tcW w:w="2412" w:type="dxa"/>
            <w:tcBorders>
              <w:top w:val="single" w:sz="6" w:space="0" w:color="000080"/>
              <w:start w:val="single" w:sz="6" w:space="0" w:color="000080"/>
              <w:bottom w:val="single" w:sz="6" w:space="0" w:color="000080"/>
              <w:end w:val="single" w:sz="6" w:space="0" w:color="000080"/>
            </w:tcBorders>
          </w:tcPr>
          <w:p>
            <w:pPr>
              <w:pStyle w:val="Normal"/>
              <w:rPr/>
            </w:pPr>
            <w:r>
              <w:rPr/>
              <w:t>Month to month</w:t>
            </w:r>
          </w:p>
        </w:tc>
      </w:tr>
      <w:tr>
        <w:trPr/>
        <w:tc>
          <w:tcPr>
            <w:tcW w:w="2880" w:type="dxa"/>
            <w:tcBorders>
              <w:top w:val="single" w:sz="6" w:space="0" w:color="000080"/>
              <w:start w:val="single" w:sz="6" w:space="0" w:color="000080"/>
              <w:bottom w:val="single" w:sz="6" w:space="0" w:color="000080"/>
              <w:end w:val="single" w:sz="6" w:space="0" w:color="000080"/>
            </w:tcBorders>
          </w:tcPr>
          <w:p>
            <w:pPr>
              <w:pStyle w:val="Normal"/>
              <w:rPr/>
            </w:pPr>
            <w:r>
              <w:rPr/>
              <w:t>Davis Wright &amp; Tremaine</w:t>
            </w:r>
          </w:p>
        </w:tc>
        <w:tc>
          <w:tcPr>
            <w:tcW w:w="3168" w:type="dxa"/>
            <w:tcBorders>
              <w:top w:val="single" w:sz="6" w:space="0" w:color="000080"/>
              <w:start w:val="single" w:sz="6" w:space="0" w:color="000080"/>
              <w:bottom w:val="single" w:sz="6" w:space="0" w:color="000080"/>
              <w:end w:val="single" w:sz="6" w:space="0" w:color="000080"/>
            </w:tcBorders>
          </w:tcPr>
          <w:p>
            <w:pPr>
              <w:pStyle w:val="Normal"/>
              <w:rPr/>
            </w:pPr>
            <w:r>
              <w:rPr/>
              <w:t>BPA and NW Power Issues</w:t>
            </w:r>
          </w:p>
        </w:tc>
        <w:tc>
          <w:tcPr>
            <w:tcW w:w="1728" w:type="dxa"/>
            <w:tcBorders>
              <w:top w:val="single" w:sz="6" w:space="0" w:color="000080"/>
              <w:start w:val="single" w:sz="6" w:space="0" w:color="000080"/>
              <w:bottom w:val="single" w:sz="6" w:space="0" w:color="000080"/>
              <w:end w:val="single" w:sz="6" w:space="0" w:color="000080"/>
            </w:tcBorders>
          </w:tcPr>
          <w:p>
            <w:pPr>
              <w:pStyle w:val="Normal"/>
              <w:rPr/>
            </w:pPr>
            <w:r>
              <w:rPr/>
              <w:t>Craig Gannett</w:t>
            </w:r>
          </w:p>
        </w:tc>
        <w:tc>
          <w:tcPr>
            <w:tcW w:w="3600" w:type="dxa"/>
            <w:tcBorders>
              <w:top w:val="single" w:sz="6" w:space="0" w:color="000080"/>
              <w:start w:val="single" w:sz="6" w:space="0" w:color="000080"/>
              <w:bottom w:val="single" w:sz="6" w:space="0" w:color="000080"/>
              <w:end w:val="single" w:sz="6" w:space="0" w:color="000080"/>
            </w:tcBorders>
          </w:tcPr>
          <w:p>
            <w:pPr>
              <w:pStyle w:val="Normal"/>
              <w:rPr/>
            </w:pPr>
            <w:r>
              <w:rPr/>
              <w:t>$4,000</w:t>
            </w:r>
          </w:p>
        </w:tc>
        <w:tc>
          <w:tcPr>
            <w:tcW w:w="2412" w:type="dxa"/>
            <w:tcBorders>
              <w:top w:val="single" w:sz="6" w:space="0" w:color="000080"/>
              <w:start w:val="single" w:sz="6" w:space="0" w:color="000080"/>
              <w:bottom w:val="single" w:sz="6" w:space="0" w:color="000080"/>
              <w:end w:val="single" w:sz="6" w:space="0" w:color="000080"/>
            </w:tcBorders>
          </w:tcPr>
          <w:p>
            <w:pPr>
              <w:pStyle w:val="Normal"/>
              <w:rPr/>
            </w:pPr>
            <w:r>
              <w:rPr/>
              <w:t>Month to month</w:t>
            </w:r>
          </w:p>
        </w:tc>
      </w:tr>
      <w:tr>
        <w:trPr/>
        <w:tc>
          <w:tcPr>
            <w:tcW w:w="2880" w:type="dxa"/>
            <w:tcBorders>
              <w:top w:val="single" w:sz="6" w:space="0" w:color="000080"/>
              <w:start w:val="single" w:sz="6" w:space="0" w:color="000080"/>
              <w:bottom w:val="single" w:sz="6" w:space="0" w:color="000080"/>
              <w:end w:val="single" w:sz="6" w:space="0" w:color="000080"/>
            </w:tcBorders>
          </w:tcPr>
          <w:p>
            <w:pPr>
              <w:pStyle w:val="Normal"/>
              <w:rPr/>
            </w:pPr>
            <w:r>
              <w:rPr/>
              <w:t>Fleishman Hillard</w:t>
            </w:r>
          </w:p>
        </w:tc>
        <w:tc>
          <w:tcPr>
            <w:tcW w:w="3168" w:type="dxa"/>
            <w:tcBorders>
              <w:top w:val="single" w:sz="6" w:space="0" w:color="000080"/>
              <w:start w:val="single" w:sz="6" w:space="0" w:color="000080"/>
              <w:bottom w:val="single" w:sz="6" w:space="0" w:color="000080"/>
              <w:end w:val="single" w:sz="6" w:space="0" w:color="000080"/>
            </w:tcBorders>
          </w:tcPr>
          <w:p>
            <w:pPr>
              <w:pStyle w:val="Normal"/>
              <w:rPr/>
            </w:pPr>
            <w:r>
              <w:rPr/>
              <w:t>Electricity Deregulation</w:t>
            </w:r>
          </w:p>
        </w:tc>
        <w:tc>
          <w:tcPr>
            <w:tcW w:w="1728" w:type="dxa"/>
            <w:tcBorders>
              <w:top w:val="single" w:sz="6" w:space="0" w:color="000080"/>
              <w:start w:val="single" w:sz="6" w:space="0" w:color="000080"/>
              <w:bottom w:val="single" w:sz="6" w:space="0" w:color="000080"/>
              <w:end w:val="single" w:sz="6" w:space="0" w:color="000080"/>
            </w:tcBorders>
          </w:tcPr>
          <w:p>
            <w:pPr>
              <w:pStyle w:val="Normal"/>
              <w:rPr/>
            </w:pPr>
            <w:r>
              <w:rPr/>
              <w:t>Kim Martin</w:t>
            </w:r>
          </w:p>
        </w:tc>
        <w:tc>
          <w:tcPr>
            <w:tcW w:w="3600" w:type="dxa"/>
            <w:tcBorders>
              <w:top w:val="single" w:sz="6" w:space="0" w:color="000080"/>
              <w:start w:val="single" w:sz="6" w:space="0" w:color="000080"/>
              <w:bottom w:val="single" w:sz="6" w:space="0" w:color="000080"/>
              <w:end w:val="single" w:sz="6" w:space="0" w:color="000080"/>
            </w:tcBorders>
          </w:tcPr>
          <w:p>
            <w:pPr>
              <w:pStyle w:val="Normal"/>
              <w:rPr/>
            </w:pPr>
            <w:r>
              <w:rPr/>
              <w:t>$12,500</w:t>
            </w:r>
          </w:p>
        </w:tc>
        <w:tc>
          <w:tcPr>
            <w:tcW w:w="2412" w:type="dxa"/>
            <w:tcBorders>
              <w:top w:val="single" w:sz="6" w:space="0" w:color="000080"/>
              <w:start w:val="single" w:sz="6" w:space="0" w:color="000080"/>
              <w:bottom w:val="single" w:sz="6" w:space="0" w:color="000080"/>
              <w:end w:val="single" w:sz="6" w:space="0" w:color="000080"/>
            </w:tcBorders>
          </w:tcPr>
          <w:p>
            <w:pPr>
              <w:pStyle w:val="Normal"/>
              <w:rPr/>
            </w:pPr>
            <w:r>
              <w:rPr/>
              <w:t>Month to month</w:t>
            </w:r>
          </w:p>
        </w:tc>
      </w:tr>
      <w:tr>
        <w:trPr/>
        <w:tc>
          <w:tcPr>
            <w:tcW w:w="2880" w:type="dxa"/>
            <w:tcBorders>
              <w:top w:val="single" w:sz="6" w:space="0" w:color="000080"/>
              <w:start w:val="single" w:sz="6" w:space="0" w:color="000080"/>
              <w:bottom w:val="single" w:sz="6" w:space="0" w:color="000080"/>
              <w:end w:val="single" w:sz="6" w:space="0" w:color="000080"/>
            </w:tcBorders>
          </w:tcPr>
          <w:p>
            <w:pPr>
              <w:pStyle w:val="Normal"/>
              <w:rPr/>
            </w:pPr>
            <w:r>
              <w:rPr/>
              <w:t>Fonthiam International</w:t>
            </w:r>
          </w:p>
        </w:tc>
        <w:tc>
          <w:tcPr>
            <w:tcW w:w="3168" w:type="dxa"/>
            <w:tcBorders>
              <w:top w:val="single" w:sz="6" w:space="0" w:color="000080"/>
              <w:start w:val="single" w:sz="6" w:space="0" w:color="000080"/>
              <w:bottom w:val="single" w:sz="6" w:space="0" w:color="000080"/>
              <w:end w:val="single" w:sz="6" w:space="0" w:color="000080"/>
            </w:tcBorders>
          </w:tcPr>
          <w:p>
            <w:pPr>
              <w:pStyle w:val="Normal"/>
              <w:rPr/>
            </w:pPr>
            <w:r>
              <w:rPr/>
              <w:t>Legislative Issues</w:t>
            </w:r>
          </w:p>
        </w:tc>
        <w:tc>
          <w:tcPr>
            <w:tcW w:w="1728" w:type="dxa"/>
            <w:tcBorders>
              <w:top w:val="single" w:sz="6" w:space="0" w:color="000080"/>
              <w:start w:val="single" w:sz="6" w:space="0" w:color="000080"/>
              <w:bottom w:val="single" w:sz="6" w:space="0" w:color="000080"/>
              <w:end w:val="single" w:sz="6" w:space="0" w:color="000080"/>
            </w:tcBorders>
          </w:tcPr>
          <w:p>
            <w:pPr>
              <w:pStyle w:val="Normal"/>
              <w:rPr/>
            </w:pPr>
            <w:r>
              <w:rPr/>
              <w:t>Claude Fontheim</w:t>
            </w:r>
          </w:p>
        </w:tc>
        <w:tc>
          <w:tcPr>
            <w:tcW w:w="3600" w:type="dxa"/>
            <w:tcBorders>
              <w:top w:val="single" w:sz="6" w:space="0" w:color="000080"/>
              <w:start w:val="single" w:sz="6" w:space="0" w:color="000080"/>
              <w:bottom w:val="single" w:sz="6" w:space="0" w:color="000080"/>
              <w:end w:val="single" w:sz="6" w:space="0" w:color="000080"/>
            </w:tcBorders>
          </w:tcPr>
          <w:p>
            <w:pPr>
              <w:pStyle w:val="Normal"/>
              <w:rPr/>
            </w:pPr>
            <w:r>
              <w:rPr/>
              <w:t>$10,000</w:t>
            </w:r>
          </w:p>
        </w:tc>
        <w:tc>
          <w:tcPr>
            <w:tcW w:w="2412" w:type="dxa"/>
            <w:tcBorders>
              <w:top w:val="single" w:sz="6" w:space="0" w:color="000080"/>
              <w:start w:val="single" w:sz="6" w:space="0" w:color="000080"/>
              <w:bottom w:val="single" w:sz="6" w:space="0" w:color="000080"/>
              <w:end w:val="single" w:sz="6" w:space="0" w:color="000080"/>
            </w:tcBorders>
          </w:tcPr>
          <w:p>
            <w:pPr>
              <w:pStyle w:val="Normal"/>
              <w:rPr/>
            </w:pPr>
            <w:r>
              <w:rPr/>
              <w:t>December 2000</w:t>
            </w:r>
          </w:p>
        </w:tc>
      </w:tr>
      <w:tr>
        <w:trPr/>
        <w:tc>
          <w:tcPr>
            <w:tcW w:w="2880" w:type="dxa"/>
            <w:tcBorders>
              <w:top w:val="single" w:sz="6" w:space="0" w:color="000080"/>
              <w:start w:val="single" w:sz="6" w:space="0" w:color="000080"/>
              <w:bottom w:val="single" w:sz="6" w:space="0" w:color="000080"/>
              <w:end w:val="single" w:sz="6" w:space="0" w:color="000080"/>
            </w:tcBorders>
          </w:tcPr>
          <w:p>
            <w:pPr>
              <w:pStyle w:val="Normal"/>
              <w:rPr/>
            </w:pPr>
            <w:r>
              <w:rPr/>
              <w:t>Hills and Company</w:t>
            </w:r>
          </w:p>
        </w:tc>
        <w:tc>
          <w:tcPr>
            <w:tcW w:w="3168" w:type="dxa"/>
            <w:tcBorders>
              <w:top w:val="single" w:sz="6" w:space="0" w:color="000080"/>
              <w:start w:val="single" w:sz="6" w:space="0" w:color="000080"/>
              <w:bottom w:val="single" w:sz="6" w:space="0" w:color="000080"/>
              <w:end w:val="single" w:sz="6" w:space="0" w:color="000080"/>
            </w:tcBorders>
          </w:tcPr>
          <w:p>
            <w:pPr>
              <w:pStyle w:val="Normal"/>
              <w:rPr/>
            </w:pPr>
            <w:r>
              <w:rPr/>
              <w:t>International issues</w:t>
            </w:r>
          </w:p>
        </w:tc>
        <w:tc>
          <w:tcPr>
            <w:tcW w:w="1728" w:type="dxa"/>
            <w:tcBorders>
              <w:top w:val="single" w:sz="6" w:space="0" w:color="000080"/>
              <w:start w:val="single" w:sz="6" w:space="0" w:color="000080"/>
              <w:bottom w:val="single" w:sz="6" w:space="0" w:color="000080"/>
              <w:end w:val="single" w:sz="6" w:space="0" w:color="000080"/>
            </w:tcBorders>
          </w:tcPr>
          <w:p>
            <w:pPr>
              <w:pStyle w:val="Normal"/>
              <w:rPr/>
            </w:pPr>
            <w:r>
              <w:rPr/>
              <w:t>Carla Hills</w:t>
            </w:r>
          </w:p>
        </w:tc>
        <w:tc>
          <w:tcPr>
            <w:tcW w:w="3600" w:type="dxa"/>
            <w:tcBorders>
              <w:top w:val="single" w:sz="6" w:space="0" w:color="000080"/>
              <w:start w:val="single" w:sz="6" w:space="0" w:color="000080"/>
              <w:bottom w:val="single" w:sz="6" w:space="0" w:color="000080"/>
              <w:end w:val="single" w:sz="6" w:space="0" w:color="000080"/>
            </w:tcBorders>
          </w:tcPr>
          <w:p>
            <w:pPr>
              <w:pStyle w:val="Normal"/>
              <w:rPr/>
            </w:pPr>
            <w:r>
              <w:rPr/>
              <w:t>$20,000</w:t>
            </w:r>
          </w:p>
        </w:tc>
        <w:tc>
          <w:tcPr>
            <w:tcW w:w="2412" w:type="dxa"/>
            <w:tcBorders>
              <w:top w:val="single" w:sz="6" w:space="0" w:color="000080"/>
              <w:start w:val="single" w:sz="6" w:space="0" w:color="000080"/>
              <w:bottom w:val="single" w:sz="6" w:space="0" w:color="000080"/>
              <w:end w:val="single" w:sz="6" w:space="0" w:color="000080"/>
            </w:tcBorders>
          </w:tcPr>
          <w:p>
            <w:pPr>
              <w:pStyle w:val="Normal"/>
              <w:rPr/>
            </w:pPr>
            <w:r>
              <w:rPr/>
              <w:t>December 2000</w:t>
            </w:r>
          </w:p>
        </w:tc>
      </w:tr>
      <w:tr>
        <w:trPr/>
        <w:tc>
          <w:tcPr>
            <w:tcW w:w="2880" w:type="dxa"/>
            <w:tcBorders>
              <w:top w:val="single" w:sz="6" w:space="0" w:color="000080"/>
              <w:start w:val="single" w:sz="6" w:space="0" w:color="000080"/>
              <w:bottom w:val="single" w:sz="6" w:space="0" w:color="000080"/>
              <w:end w:val="single" w:sz="6" w:space="0" w:color="000080"/>
            </w:tcBorders>
          </w:tcPr>
          <w:p>
            <w:pPr>
              <w:pStyle w:val="Normal"/>
              <w:rPr/>
            </w:pPr>
            <w:r>
              <w:rPr/>
              <w:t>Johnston &amp; Associates</w:t>
            </w:r>
          </w:p>
        </w:tc>
        <w:tc>
          <w:tcPr>
            <w:tcW w:w="3168" w:type="dxa"/>
            <w:tcBorders>
              <w:top w:val="single" w:sz="6" w:space="0" w:color="000080"/>
              <w:start w:val="single" w:sz="6" w:space="0" w:color="000080"/>
              <w:bottom w:val="single" w:sz="6" w:space="0" w:color="000080"/>
              <w:end w:val="single" w:sz="6" w:space="0" w:color="000080"/>
            </w:tcBorders>
          </w:tcPr>
          <w:p>
            <w:pPr>
              <w:pStyle w:val="Normal"/>
              <w:rPr/>
            </w:pPr>
            <w:r>
              <w:rPr/>
              <w:t>Legislative Issues</w:t>
            </w:r>
          </w:p>
        </w:tc>
        <w:tc>
          <w:tcPr>
            <w:tcW w:w="1728" w:type="dxa"/>
            <w:tcBorders>
              <w:top w:val="single" w:sz="6" w:space="0" w:color="000080"/>
              <w:start w:val="single" w:sz="6" w:space="0" w:color="000080"/>
              <w:bottom w:val="single" w:sz="6" w:space="0" w:color="000080"/>
              <w:end w:val="single" w:sz="6" w:space="0" w:color="000080"/>
            </w:tcBorders>
          </w:tcPr>
          <w:p>
            <w:pPr>
              <w:pStyle w:val="Normal"/>
              <w:rPr/>
            </w:pPr>
            <w:r>
              <w:rPr/>
              <w:t>Bennett Johnston</w:t>
            </w:r>
          </w:p>
        </w:tc>
        <w:tc>
          <w:tcPr>
            <w:tcW w:w="3600" w:type="dxa"/>
            <w:tcBorders>
              <w:top w:val="single" w:sz="6" w:space="0" w:color="000080"/>
              <w:start w:val="single" w:sz="6" w:space="0" w:color="000080"/>
              <w:bottom w:val="single" w:sz="6" w:space="0" w:color="000080"/>
              <w:end w:val="single" w:sz="6" w:space="0" w:color="000080"/>
            </w:tcBorders>
          </w:tcPr>
          <w:p>
            <w:pPr>
              <w:pStyle w:val="Normal"/>
              <w:rPr/>
            </w:pPr>
            <w:r>
              <w:rPr/>
              <w:t>$10,000</w:t>
            </w:r>
          </w:p>
        </w:tc>
        <w:tc>
          <w:tcPr>
            <w:tcW w:w="2412" w:type="dxa"/>
            <w:tcBorders>
              <w:top w:val="single" w:sz="6" w:space="0" w:color="000080"/>
              <w:start w:val="single" w:sz="6" w:space="0" w:color="000080"/>
              <w:bottom w:val="single" w:sz="6" w:space="0" w:color="000080"/>
              <w:end w:val="single" w:sz="6" w:space="0" w:color="000080"/>
            </w:tcBorders>
          </w:tcPr>
          <w:p>
            <w:pPr>
              <w:pStyle w:val="Normal"/>
              <w:rPr/>
            </w:pPr>
            <w:r>
              <w:rPr/>
              <w:t>December 2000</w:t>
            </w:r>
          </w:p>
        </w:tc>
      </w:tr>
      <w:tr>
        <w:trPr/>
        <w:tc>
          <w:tcPr>
            <w:tcW w:w="2880" w:type="dxa"/>
            <w:tcBorders>
              <w:top w:val="single" w:sz="6" w:space="0" w:color="000080"/>
              <w:start w:val="single" w:sz="6" w:space="0" w:color="000080"/>
              <w:bottom w:val="single" w:sz="6" w:space="0" w:color="000080"/>
              <w:end w:val="single" w:sz="6" w:space="0" w:color="000080"/>
            </w:tcBorders>
          </w:tcPr>
          <w:p>
            <w:pPr>
              <w:pStyle w:val="Normal"/>
              <w:rPr/>
            </w:pPr>
            <w:r>
              <w:rPr/>
              <w:t xml:space="preserve">Kissinger McLarty </w:t>
            </w:r>
          </w:p>
        </w:tc>
        <w:tc>
          <w:tcPr>
            <w:tcW w:w="3168" w:type="dxa"/>
            <w:tcBorders>
              <w:top w:val="single" w:sz="6" w:space="0" w:color="000080"/>
              <w:start w:val="single" w:sz="6" w:space="0" w:color="000080"/>
              <w:bottom w:val="single" w:sz="6" w:space="0" w:color="000080"/>
              <w:end w:val="single" w:sz="6" w:space="0" w:color="000080"/>
            </w:tcBorders>
          </w:tcPr>
          <w:p>
            <w:pPr>
              <w:pStyle w:val="Normal"/>
              <w:rPr/>
            </w:pPr>
            <w:r>
              <w:rPr/>
              <w:t>China</w:t>
            </w:r>
          </w:p>
          <w:p>
            <w:pPr>
              <w:pStyle w:val="Normal"/>
              <w:rPr/>
            </w:pPr>
            <w:r>
              <w:rPr/>
              <w:t>Latin America</w:t>
            </w:r>
          </w:p>
        </w:tc>
        <w:tc>
          <w:tcPr>
            <w:tcW w:w="1728" w:type="dxa"/>
            <w:tcBorders>
              <w:top w:val="single" w:sz="6" w:space="0" w:color="000080"/>
              <w:start w:val="single" w:sz="6" w:space="0" w:color="000080"/>
              <w:bottom w:val="single" w:sz="6" w:space="0" w:color="000080"/>
              <w:end w:val="single" w:sz="6" w:space="0" w:color="000080"/>
            </w:tcBorders>
          </w:tcPr>
          <w:p>
            <w:pPr>
              <w:pStyle w:val="Normal"/>
              <w:rPr/>
            </w:pPr>
            <w:r>
              <w:rPr/>
              <w:t>Henry Kissinger</w:t>
            </w:r>
          </w:p>
          <w:p>
            <w:pPr>
              <w:pStyle w:val="Normal"/>
              <w:rPr/>
            </w:pPr>
            <w:r>
              <w:rPr/>
              <w:t>Mac McLarty</w:t>
            </w:r>
          </w:p>
        </w:tc>
        <w:tc>
          <w:tcPr>
            <w:tcW w:w="3600" w:type="dxa"/>
            <w:tcBorders>
              <w:top w:val="single" w:sz="6" w:space="0" w:color="000080"/>
              <w:start w:val="single" w:sz="6" w:space="0" w:color="000080"/>
              <w:bottom w:val="single" w:sz="6" w:space="0" w:color="000080"/>
              <w:end w:val="single" w:sz="6" w:space="0" w:color="000080"/>
            </w:tcBorders>
          </w:tcPr>
          <w:p>
            <w:pPr>
              <w:pStyle w:val="Normal"/>
              <w:snapToGrid w:val="false"/>
              <w:rPr/>
            </w:pPr>
            <w:r>
              <w:rPr/>
            </w:r>
          </w:p>
        </w:tc>
        <w:tc>
          <w:tcPr>
            <w:tcW w:w="2412" w:type="dxa"/>
            <w:tcBorders>
              <w:top w:val="single" w:sz="6" w:space="0" w:color="000080"/>
              <w:start w:val="single" w:sz="6" w:space="0" w:color="000080"/>
              <w:bottom w:val="single" w:sz="6" w:space="0" w:color="000080"/>
              <w:end w:val="single" w:sz="6" w:space="0" w:color="000080"/>
            </w:tcBorders>
          </w:tcPr>
          <w:p>
            <w:pPr>
              <w:pStyle w:val="Normal"/>
              <w:snapToGrid w:val="false"/>
              <w:rPr/>
            </w:pPr>
            <w:r>
              <w:rPr/>
            </w:r>
          </w:p>
        </w:tc>
      </w:tr>
      <w:tr>
        <w:trPr/>
        <w:tc>
          <w:tcPr>
            <w:tcW w:w="2880" w:type="dxa"/>
            <w:tcBorders>
              <w:top w:val="single" w:sz="6" w:space="0" w:color="000080"/>
              <w:start w:val="single" w:sz="6" w:space="0" w:color="000080"/>
              <w:bottom w:val="single" w:sz="6" w:space="0" w:color="000080"/>
              <w:end w:val="single" w:sz="6" w:space="0" w:color="000080"/>
            </w:tcBorders>
          </w:tcPr>
          <w:p>
            <w:pPr>
              <w:pStyle w:val="Normal"/>
              <w:rPr/>
            </w:pPr>
            <w:r>
              <w:rPr/>
              <w:t>Vinson &amp; Elkins</w:t>
            </w:r>
          </w:p>
        </w:tc>
        <w:tc>
          <w:tcPr>
            <w:tcW w:w="3168" w:type="dxa"/>
            <w:tcBorders>
              <w:top w:val="single" w:sz="6" w:space="0" w:color="000080"/>
              <w:start w:val="single" w:sz="6" w:space="0" w:color="000080"/>
              <w:bottom w:val="single" w:sz="6" w:space="0" w:color="000080"/>
              <w:end w:val="single" w:sz="6" w:space="0" w:color="000080"/>
            </w:tcBorders>
          </w:tcPr>
          <w:p>
            <w:pPr>
              <w:pStyle w:val="Normal"/>
              <w:rPr/>
            </w:pPr>
            <w:r>
              <w:rPr/>
              <w:t>Electricity Deregulation</w:t>
            </w:r>
          </w:p>
        </w:tc>
        <w:tc>
          <w:tcPr>
            <w:tcW w:w="1728" w:type="dxa"/>
            <w:tcBorders>
              <w:top w:val="single" w:sz="6" w:space="0" w:color="000080"/>
              <w:start w:val="single" w:sz="6" w:space="0" w:color="000080"/>
              <w:bottom w:val="single" w:sz="6" w:space="0" w:color="000080"/>
              <w:end w:val="single" w:sz="6" w:space="0" w:color="000080"/>
            </w:tcBorders>
          </w:tcPr>
          <w:p>
            <w:pPr>
              <w:pStyle w:val="Normal"/>
              <w:rPr/>
            </w:pPr>
            <w:r>
              <w:rPr/>
              <w:t>Adam Wenner</w:t>
            </w:r>
          </w:p>
          <w:p>
            <w:pPr>
              <w:pStyle w:val="Normal"/>
              <w:rPr/>
            </w:pPr>
            <w:r>
              <w:rPr/>
              <w:t>Mike Andrews</w:t>
            </w:r>
          </w:p>
        </w:tc>
        <w:tc>
          <w:tcPr>
            <w:tcW w:w="3600" w:type="dxa"/>
            <w:tcBorders>
              <w:top w:val="single" w:sz="6" w:space="0" w:color="000080"/>
              <w:start w:val="single" w:sz="6" w:space="0" w:color="000080"/>
              <w:bottom w:val="single" w:sz="6" w:space="0" w:color="000080"/>
              <w:end w:val="single" w:sz="6" w:space="0" w:color="000080"/>
            </w:tcBorders>
          </w:tcPr>
          <w:p>
            <w:pPr>
              <w:pStyle w:val="Normal"/>
              <w:rPr/>
            </w:pPr>
            <w:r>
              <w:rPr/>
              <w:t>$8,000</w:t>
            </w:r>
          </w:p>
        </w:tc>
        <w:tc>
          <w:tcPr>
            <w:tcW w:w="2412" w:type="dxa"/>
            <w:tcBorders>
              <w:top w:val="single" w:sz="6" w:space="0" w:color="000080"/>
              <w:start w:val="single" w:sz="6" w:space="0" w:color="000080"/>
              <w:bottom w:val="single" w:sz="6" w:space="0" w:color="000080"/>
              <w:end w:val="single" w:sz="6" w:space="0" w:color="000080"/>
            </w:tcBorders>
          </w:tcPr>
          <w:p>
            <w:pPr>
              <w:pStyle w:val="Normal"/>
              <w:rPr/>
            </w:pPr>
            <w:r>
              <w:rPr/>
              <w:t>Month to month</w:t>
            </w:r>
          </w:p>
        </w:tc>
      </w:tr>
    </w:tbl>
    <w:p>
      <w:pPr>
        <w:sectPr>
          <w:type w:val="nextPage"/>
          <w:pgSz w:orient="landscape" w:w="15840" w:h="12240"/>
          <w:pgMar w:left="1440" w:right="1440" w:gutter="0" w:header="0" w:top="1800" w:footer="0" w:bottom="1800"/>
          <w:pgNumType w:fmt="decimal"/>
          <w:formProt w:val="false"/>
          <w:textDirection w:val="lrTb"/>
          <w:docGrid w:type="default" w:linePitch="360" w:charSpace="0"/>
        </w:sectPr>
      </w:pPr>
    </w:p>
    <w:p>
      <w:pPr>
        <w:pStyle w:val="Normal"/>
        <w:rPr/>
      </w:pPr>
      <w:r>
        <w:rPr/>
      </w:r>
    </w:p>
    <w:p>
      <w:pPr>
        <w:pStyle w:val="Normal"/>
        <w:jc w:val="center"/>
        <w:rPr>
          <w:b/>
        </w:rPr>
      </w:pPr>
      <w:r>
        <w:rPr>
          <w:b/>
        </w:rPr>
        <w:t>Proposed 2001 Outside Consultants</w:t>
      </w:r>
    </w:p>
    <w:p>
      <w:pPr>
        <w:pStyle w:val="Normal"/>
        <w:rPr/>
      </w:pPr>
      <w:r>
        <w:rPr/>
      </w:r>
    </w:p>
    <w:tbl>
      <w:tblPr>
        <w:tblW w:w="9522" w:type="dxa"/>
        <w:jc w:val="start"/>
        <w:tblInd w:w="0" w:type="dxa"/>
        <w:tblLayout w:type="fixed"/>
        <w:tblCellMar>
          <w:top w:w="0" w:type="dxa"/>
          <w:start w:w="108" w:type="dxa"/>
          <w:bottom w:w="0" w:type="dxa"/>
          <w:end w:w="108" w:type="dxa"/>
        </w:tblCellMar>
      </w:tblPr>
      <w:tblGrid>
        <w:gridCol w:w="2880"/>
        <w:gridCol w:w="2628"/>
        <w:gridCol w:w="1800"/>
        <w:gridCol w:w="2214"/>
      </w:tblGrid>
      <w:tr>
        <w:trPr/>
        <w:tc>
          <w:tcPr>
            <w:tcW w:w="2880" w:type="dxa"/>
            <w:tcBorders>
              <w:top w:val="single" w:sz="12" w:space="0" w:color="000000"/>
              <w:start w:val="single" w:sz="12" w:space="0" w:color="000000"/>
              <w:bottom w:val="single" w:sz="12" w:space="0" w:color="000000"/>
              <w:end w:val="single" w:sz="6" w:space="0" w:color="000000"/>
            </w:tcBorders>
          </w:tcPr>
          <w:p>
            <w:pPr>
              <w:pStyle w:val="Normal"/>
              <w:rPr/>
            </w:pPr>
            <w:r>
              <w:rPr/>
              <w:t>Firm</w:t>
            </w:r>
          </w:p>
        </w:tc>
        <w:tc>
          <w:tcPr>
            <w:tcW w:w="2628" w:type="dxa"/>
            <w:tcBorders>
              <w:top w:val="single" w:sz="12" w:space="0" w:color="000000"/>
              <w:start w:val="single" w:sz="6" w:space="0" w:color="000000"/>
              <w:bottom w:val="single" w:sz="12" w:space="0" w:color="000000"/>
              <w:end w:val="single" w:sz="6" w:space="0" w:color="000000"/>
            </w:tcBorders>
          </w:tcPr>
          <w:p>
            <w:pPr>
              <w:pStyle w:val="Normal"/>
              <w:rPr/>
            </w:pPr>
            <w:r>
              <w:rPr/>
              <w:t>Issues</w:t>
            </w:r>
          </w:p>
        </w:tc>
        <w:tc>
          <w:tcPr>
            <w:tcW w:w="1800" w:type="dxa"/>
            <w:tcBorders>
              <w:top w:val="single" w:sz="12" w:space="0" w:color="000000"/>
              <w:start w:val="single" w:sz="6" w:space="0" w:color="000000"/>
              <w:bottom w:val="single" w:sz="12" w:space="0" w:color="000000"/>
              <w:end w:val="single" w:sz="6" w:space="0" w:color="000000"/>
            </w:tcBorders>
          </w:tcPr>
          <w:p>
            <w:pPr>
              <w:pStyle w:val="Normal"/>
              <w:rPr/>
            </w:pPr>
            <w:r>
              <w:rPr/>
              <w:t>Monthly Amount</w:t>
            </w:r>
          </w:p>
        </w:tc>
        <w:tc>
          <w:tcPr>
            <w:tcW w:w="2214" w:type="dxa"/>
            <w:tcBorders>
              <w:top w:val="single" w:sz="12" w:space="0" w:color="000000"/>
              <w:start w:val="single" w:sz="6" w:space="0" w:color="000000"/>
              <w:bottom w:val="single" w:sz="12" w:space="0" w:color="000000"/>
              <w:end w:val="single" w:sz="12" w:space="0" w:color="000000"/>
            </w:tcBorders>
          </w:tcPr>
          <w:p>
            <w:pPr>
              <w:pStyle w:val="Normal"/>
              <w:rPr/>
            </w:pPr>
            <w:r>
              <w:rPr/>
              <w:t>Yearly Amount</w:t>
            </w:r>
          </w:p>
        </w:tc>
      </w:tr>
      <w:tr>
        <w:trPr/>
        <w:tc>
          <w:tcPr>
            <w:tcW w:w="2880" w:type="dxa"/>
            <w:tcBorders>
              <w:start w:val="single" w:sz="12" w:space="0" w:color="000000"/>
              <w:bottom w:val="single" w:sz="6" w:space="0" w:color="000000"/>
              <w:end w:val="single" w:sz="6" w:space="0" w:color="000000"/>
            </w:tcBorders>
          </w:tcPr>
          <w:p>
            <w:pPr>
              <w:pStyle w:val="Normal"/>
              <w:rPr>
                <w:b/>
                <w:i/>
                <w:i/>
              </w:rPr>
            </w:pPr>
            <w:r>
              <w:rPr>
                <w:b/>
                <w:i/>
              </w:rPr>
              <w:t>Legal – 52507000</w:t>
            </w:r>
          </w:p>
        </w:tc>
        <w:tc>
          <w:tcPr>
            <w:tcW w:w="2628" w:type="dxa"/>
            <w:tcBorders>
              <w:start w:val="single" w:sz="6" w:space="0" w:color="000000"/>
              <w:bottom w:val="single" w:sz="6" w:space="0" w:color="000000"/>
              <w:end w:val="single" w:sz="6" w:space="0" w:color="000000"/>
            </w:tcBorders>
          </w:tcPr>
          <w:p>
            <w:pPr>
              <w:pStyle w:val="Normal"/>
              <w:snapToGrid w:val="false"/>
              <w:rPr>
                <w:b/>
              </w:rPr>
            </w:pPr>
            <w:r>
              <w:rPr>
                <w:b/>
              </w:rPr>
            </w:r>
          </w:p>
        </w:tc>
        <w:tc>
          <w:tcPr>
            <w:tcW w:w="1800" w:type="dxa"/>
            <w:tcBorders>
              <w:start w:val="single" w:sz="6" w:space="0" w:color="000000"/>
              <w:bottom w:val="single" w:sz="6" w:space="0" w:color="000000"/>
              <w:end w:val="single" w:sz="6" w:space="0" w:color="000000"/>
            </w:tcBorders>
          </w:tcPr>
          <w:p>
            <w:pPr>
              <w:pStyle w:val="Normal"/>
              <w:snapToGrid w:val="false"/>
              <w:rPr>
                <w:b/>
              </w:rPr>
            </w:pPr>
            <w:r>
              <w:rPr>
                <w:b/>
              </w:rPr>
            </w:r>
          </w:p>
        </w:tc>
        <w:tc>
          <w:tcPr>
            <w:tcW w:w="2214" w:type="dxa"/>
            <w:tcBorders>
              <w:start w:val="single" w:sz="6" w:space="0" w:color="000000"/>
              <w:bottom w:val="single" w:sz="6" w:space="0" w:color="000000"/>
              <w:end w:val="single" w:sz="12" w:space="0" w:color="000000"/>
            </w:tcBorders>
          </w:tcPr>
          <w:p>
            <w:pPr>
              <w:pStyle w:val="Normal"/>
              <w:snapToGrid w:val="false"/>
              <w:rPr>
                <w:b/>
              </w:rPr>
            </w:pPr>
            <w:r>
              <w:rPr>
                <w:b/>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rPr/>
            </w:pPr>
            <w:r>
              <w:rPr/>
              <w:t>Akin Gump</w:t>
            </w:r>
          </w:p>
        </w:tc>
        <w:tc>
          <w:tcPr>
            <w:tcW w:w="2628" w:type="dxa"/>
            <w:tcBorders>
              <w:top w:val="single" w:sz="6" w:space="0" w:color="000000"/>
              <w:start w:val="single" w:sz="6" w:space="0" w:color="000000"/>
              <w:bottom w:val="single" w:sz="6" w:space="0" w:color="000000"/>
              <w:end w:val="single" w:sz="6" w:space="0" w:color="000000"/>
            </w:tcBorders>
          </w:tcPr>
          <w:p>
            <w:pPr>
              <w:pStyle w:val="Normal"/>
              <w:rPr>
                <w:b/>
              </w:rPr>
            </w:pPr>
            <w:r>
              <w:rPr>
                <w:b/>
              </w:rPr>
              <w:t>Electricity</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end"/>
              <w:rPr/>
            </w:pPr>
            <w:r>
              <w:rPr/>
              <w:t>26,000</w:t>
            </w:r>
          </w:p>
        </w:tc>
        <w:tc>
          <w:tcPr>
            <w:tcW w:w="2214" w:type="dxa"/>
            <w:tcBorders>
              <w:top w:val="single" w:sz="6" w:space="0" w:color="000000"/>
              <w:start w:val="single" w:sz="6" w:space="0" w:color="000000"/>
              <w:bottom w:val="single" w:sz="6" w:space="0" w:color="000000"/>
              <w:end w:val="single" w:sz="12" w:space="0" w:color="000000"/>
            </w:tcBorders>
          </w:tcPr>
          <w:p>
            <w:pPr>
              <w:pStyle w:val="Normal"/>
              <w:jc w:val="end"/>
              <w:rPr/>
            </w:pPr>
            <w:r>
              <w:rPr/>
              <w:t>312,000</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rPr/>
            </w:pPr>
            <w:r>
              <w:rPr/>
              <w:t>Bracewell and Patterson</w:t>
            </w:r>
          </w:p>
        </w:tc>
        <w:tc>
          <w:tcPr>
            <w:tcW w:w="2628" w:type="dxa"/>
            <w:tcBorders>
              <w:top w:val="single" w:sz="6" w:space="0" w:color="000000"/>
              <w:start w:val="single" w:sz="6" w:space="0" w:color="000000"/>
              <w:bottom w:val="single" w:sz="6" w:space="0" w:color="000000"/>
              <w:end w:val="single" w:sz="6" w:space="0" w:color="000000"/>
            </w:tcBorders>
          </w:tcPr>
          <w:p>
            <w:pPr>
              <w:pStyle w:val="Normal"/>
              <w:rPr>
                <w:b/>
              </w:rPr>
            </w:pPr>
            <w:r>
              <w:rPr>
                <w:b/>
              </w:rPr>
              <w:t>Tax/Environment, wind energy</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end"/>
              <w:rPr/>
            </w:pPr>
            <w:r>
              <w:rPr/>
              <w:t>25,000</w:t>
            </w:r>
          </w:p>
        </w:tc>
        <w:tc>
          <w:tcPr>
            <w:tcW w:w="2214" w:type="dxa"/>
            <w:tcBorders>
              <w:top w:val="single" w:sz="6" w:space="0" w:color="000000"/>
              <w:start w:val="single" w:sz="6" w:space="0" w:color="000000"/>
              <w:bottom w:val="single" w:sz="6" w:space="0" w:color="000000"/>
              <w:end w:val="single" w:sz="12" w:space="0" w:color="000000"/>
            </w:tcBorders>
          </w:tcPr>
          <w:p>
            <w:pPr>
              <w:pStyle w:val="Normal"/>
              <w:jc w:val="end"/>
              <w:rPr/>
            </w:pPr>
            <w:r>
              <w:rPr/>
              <w:t>300,000</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rPr/>
            </w:pPr>
            <w:r>
              <w:rPr/>
              <w:t>Davis Wright Tremaine</w:t>
            </w:r>
          </w:p>
        </w:tc>
        <w:tc>
          <w:tcPr>
            <w:tcW w:w="2628" w:type="dxa"/>
            <w:tcBorders>
              <w:top w:val="single" w:sz="6" w:space="0" w:color="000000"/>
              <w:start w:val="single" w:sz="6" w:space="0" w:color="000000"/>
              <w:bottom w:val="single" w:sz="6" w:space="0" w:color="000000"/>
              <w:end w:val="single" w:sz="6" w:space="0" w:color="000000"/>
            </w:tcBorders>
          </w:tcPr>
          <w:p>
            <w:pPr>
              <w:pStyle w:val="Normal"/>
              <w:rPr>
                <w:b/>
              </w:rPr>
            </w:pPr>
            <w:r>
              <w:rPr>
                <w:b/>
              </w:rPr>
              <w:t>Electricity</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end"/>
              <w:rPr/>
            </w:pPr>
            <w:r>
              <w:rPr/>
              <w:t>10,000</w:t>
            </w:r>
          </w:p>
        </w:tc>
        <w:tc>
          <w:tcPr>
            <w:tcW w:w="2214" w:type="dxa"/>
            <w:tcBorders>
              <w:top w:val="single" w:sz="6" w:space="0" w:color="000000"/>
              <w:start w:val="single" w:sz="6" w:space="0" w:color="000000"/>
              <w:bottom w:val="single" w:sz="6" w:space="0" w:color="000000"/>
              <w:end w:val="single" w:sz="12" w:space="0" w:color="000000"/>
            </w:tcBorders>
          </w:tcPr>
          <w:p>
            <w:pPr>
              <w:pStyle w:val="Normal"/>
              <w:jc w:val="end"/>
              <w:rPr/>
            </w:pPr>
            <w:r>
              <w:rPr/>
              <w:t>120,000</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rPr/>
            </w:pPr>
            <w:r>
              <w:rPr/>
              <w:t>Verner Liipert Bernard McPherson &amp; Hand</w:t>
            </w:r>
          </w:p>
        </w:tc>
        <w:tc>
          <w:tcPr>
            <w:tcW w:w="2628" w:type="dxa"/>
            <w:tcBorders>
              <w:top w:val="single" w:sz="6" w:space="0" w:color="000000"/>
              <w:start w:val="single" w:sz="6" w:space="0" w:color="000000"/>
              <w:bottom w:val="single" w:sz="6" w:space="0" w:color="000000"/>
              <w:end w:val="single" w:sz="6" w:space="0" w:color="000000"/>
            </w:tcBorders>
          </w:tcPr>
          <w:p>
            <w:pPr>
              <w:pStyle w:val="Normal"/>
              <w:rPr>
                <w:b/>
              </w:rPr>
            </w:pPr>
            <w:r>
              <w:rPr>
                <w:b/>
              </w:rPr>
              <w:t>Electricity FCC limited lobbying</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end"/>
              <w:rPr/>
            </w:pPr>
            <w:r>
              <w:rPr/>
              <w:t>10,000</w:t>
            </w:r>
          </w:p>
        </w:tc>
        <w:tc>
          <w:tcPr>
            <w:tcW w:w="2214" w:type="dxa"/>
            <w:tcBorders>
              <w:top w:val="single" w:sz="6" w:space="0" w:color="000000"/>
              <w:start w:val="single" w:sz="6" w:space="0" w:color="000000"/>
              <w:bottom w:val="single" w:sz="6" w:space="0" w:color="000000"/>
              <w:end w:val="single" w:sz="12" w:space="0" w:color="000000"/>
            </w:tcBorders>
          </w:tcPr>
          <w:p>
            <w:pPr>
              <w:pStyle w:val="Normal"/>
              <w:jc w:val="end"/>
              <w:rPr/>
            </w:pPr>
            <w:r>
              <w:rPr/>
              <w:t>120,000</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rPr/>
            </w:pPr>
            <w:r>
              <w:rPr/>
              <w:t>Vinson &amp; Elkins</w:t>
            </w:r>
          </w:p>
        </w:tc>
        <w:tc>
          <w:tcPr>
            <w:tcW w:w="2628" w:type="dxa"/>
            <w:tcBorders>
              <w:top w:val="single" w:sz="6" w:space="0" w:color="000000"/>
              <w:start w:val="single" w:sz="6" w:space="0" w:color="000000"/>
              <w:bottom w:val="single" w:sz="6" w:space="0" w:color="000000"/>
              <w:end w:val="single" w:sz="6" w:space="0" w:color="000000"/>
            </w:tcBorders>
          </w:tcPr>
          <w:p>
            <w:pPr>
              <w:pStyle w:val="Normal"/>
              <w:rPr>
                <w:b/>
              </w:rPr>
            </w:pPr>
            <w:r>
              <w:rPr>
                <w:b/>
              </w:rPr>
              <w:t>Electricity</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end"/>
              <w:rPr/>
            </w:pPr>
            <w:r>
              <w:rPr/>
              <w:t>25,000</w:t>
            </w:r>
          </w:p>
        </w:tc>
        <w:tc>
          <w:tcPr>
            <w:tcW w:w="2214" w:type="dxa"/>
            <w:tcBorders>
              <w:top w:val="single" w:sz="6" w:space="0" w:color="000000"/>
              <w:start w:val="single" w:sz="6" w:space="0" w:color="000000"/>
              <w:bottom w:val="single" w:sz="6" w:space="0" w:color="000000"/>
              <w:end w:val="single" w:sz="12" w:space="0" w:color="000000"/>
            </w:tcBorders>
          </w:tcPr>
          <w:p>
            <w:pPr>
              <w:pStyle w:val="Normal"/>
              <w:jc w:val="end"/>
              <w:rPr/>
            </w:pPr>
            <w:r>
              <w:rPr/>
              <w:t>300,000</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rPr>
                <w:b/>
              </w:rPr>
            </w:pPr>
            <w:r>
              <w:rPr>
                <w:b/>
              </w:rPr>
              <w:t>TOTAL</w:t>
            </w:r>
          </w:p>
        </w:tc>
        <w:tc>
          <w:tcPr>
            <w:tcW w:w="2628"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800" w:type="dxa"/>
            <w:tcBorders>
              <w:top w:val="single" w:sz="6" w:space="0" w:color="000000"/>
              <w:start w:val="single" w:sz="6" w:space="0" w:color="000000"/>
              <w:bottom w:val="single" w:sz="6" w:space="0" w:color="000000"/>
              <w:end w:val="single" w:sz="6" w:space="0" w:color="000000"/>
            </w:tcBorders>
          </w:tcPr>
          <w:p>
            <w:pPr>
              <w:pStyle w:val="Normal"/>
              <w:jc w:val="end"/>
              <w:rPr>
                <w:b/>
              </w:rPr>
            </w:pPr>
            <w:r>
              <w:rPr>
                <w:b/>
              </w:rPr>
              <w:t>61,600</w:t>
            </w:r>
          </w:p>
        </w:tc>
        <w:tc>
          <w:tcPr>
            <w:tcW w:w="2214" w:type="dxa"/>
            <w:tcBorders>
              <w:top w:val="single" w:sz="6" w:space="0" w:color="000000"/>
              <w:start w:val="single" w:sz="6" w:space="0" w:color="000000"/>
              <w:bottom w:val="single" w:sz="6" w:space="0" w:color="000000"/>
              <w:end w:val="single" w:sz="12" w:space="0" w:color="000000"/>
            </w:tcBorders>
          </w:tcPr>
          <w:p>
            <w:pPr>
              <w:pStyle w:val="Normal"/>
              <w:jc w:val="end"/>
              <w:rPr>
                <w:b/>
              </w:rPr>
            </w:pPr>
            <w:r>
              <w:rPr>
                <w:b/>
              </w:rPr>
              <w:t>1,152,000</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snapToGrid w:val="false"/>
              <w:rPr>
                <w:b/>
              </w:rPr>
            </w:pPr>
            <w:r>
              <w:rPr>
                <w:b/>
              </w:rPr>
            </w:r>
          </w:p>
        </w:tc>
        <w:tc>
          <w:tcPr>
            <w:tcW w:w="2628"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2214" w:type="dxa"/>
            <w:tcBorders>
              <w:top w:val="single" w:sz="6" w:space="0" w:color="000000"/>
              <w:start w:val="single" w:sz="6" w:space="0" w:color="000000"/>
              <w:bottom w:val="single" w:sz="6" w:space="0" w:color="000000"/>
              <w:end w:val="single" w:sz="12" w:space="0" w:color="000000"/>
            </w:tcBorders>
          </w:tcPr>
          <w:p>
            <w:pPr>
              <w:pStyle w:val="Normal"/>
              <w:snapToGrid w:val="false"/>
              <w:rPr>
                <w:b/>
              </w:rPr>
            </w:pPr>
            <w:r>
              <w:rPr>
                <w:b/>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rPr>
                <w:i/>
                <w:i/>
              </w:rPr>
            </w:pPr>
            <w:r>
              <w:rPr>
                <w:b/>
                <w:i/>
              </w:rPr>
              <w:t>Outside Consultants 52508000</w:t>
            </w:r>
          </w:p>
        </w:tc>
        <w:tc>
          <w:tcPr>
            <w:tcW w:w="2628" w:type="dxa"/>
            <w:tcBorders>
              <w:top w:val="single" w:sz="6" w:space="0" w:color="000000"/>
              <w:start w:val="single" w:sz="6" w:space="0" w:color="000000"/>
              <w:bottom w:val="single" w:sz="6" w:space="0" w:color="000000"/>
              <w:end w:val="single" w:sz="6" w:space="0" w:color="000000"/>
            </w:tcBorders>
          </w:tcPr>
          <w:p>
            <w:pPr>
              <w:pStyle w:val="Normal"/>
              <w:snapToGrid w:val="false"/>
              <w:rPr>
                <w:b/>
                <w:i/>
                <w:i/>
              </w:rPr>
            </w:pPr>
            <w:r>
              <w:rPr>
                <w:b/>
                <w:i/>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2214" w:type="dxa"/>
            <w:tcBorders>
              <w:top w:val="single" w:sz="6" w:space="0" w:color="000000"/>
              <w:start w:val="single" w:sz="6" w:space="0" w:color="000000"/>
              <w:bottom w:val="single" w:sz="6" w:space="0" w:color="000000"/>
              <w:end w:val="single" w:sz="12" w:space="0" w:color="000000"/>
            </w:tcBorders>
          </w:tcPr>
          <w:p>
            <w:pPr>
              <w:pStyle w:val="Normal"/>
              <w:snapToGrid w:val="false"/>
              <w:rPr>
                <w:b/>
              </w:rPr>
            </w:pPr>
            <w:r>
              <w:rPr>
                <w:b/>
              </w:rPr>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rPr>
                <w:b/>
              </w:rPr>
            </w:pPr>
            <w:r>
              <w:rPr/>
              <w:t>Alexander Strategy Group</w:t>
            </w:r>
          </w:p>
        </w:tc>
        <w:tc>
          <w:tcPr>
            <w:tcW w:w="2628" w:type="dxa"/>
            <w:tcBorders>
              <w:top w:val="single" w:sz="6" w:space="0" w:color="000000"/>
              <w:start w:val="single" w:sz="6" w:space="0" w:color="000000"/>
              <w:bottom w:val="single" w:sz="6" w:space="0" w:color="000000"/>
              <w:end w:val="single" w:sz="6" w:space="0" w:color="000000"/>
            </w:tcBorders>
          </w:tcPr>
          <w:p>
            <w:pPr>
              <w:pStyle w:val="Normal"/>
              <w:rPr>
                <w:b/>
              </w:rPr>
            </w:pPr>
            <w:r>
              <w:rPr>
                <w:b/>
              </w:rPr>
              <w:t>Electricity</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end"/>
              <w:rPr/>
            </w:pPr>
            <w:r>
              <w:rPr/>
              <w:t>25,000</w:t>
            </w:r>
          </w:p>
        </w:tc>
        <w:tc>
          <w:tcPr>
            <w:tcW w:w="2214" w:type="dxa"/>
            <w:tcBorders>
              <w:top w:val="single" w:sz="6" w:space="0" w:color="000000"/>
              <w:start w:val="single" w:sz="6" w:space="0" w:color="000000"/>
              <w:bottom w:val="single" w:sz="6" w:space="0" w:color="000000"/>
              <w:end w:val="single" w:sz="12" w:space="0" w:color="000000"/>
            </w:tcBorders>
          </w:tcPr>
          <w:p>
            <w:pPr>
              <w:pStyle w:val="Normal"/>
              <w:jc w:val="end"/>
              <w:rPr/>
            </w:pPr>
            <w:r>
              <w:rPr/>
              <w:t>300,000</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rPr/>
            </w:pPr>
            <w:r>
              <w:rPr/>
              <w:t>Bob Moss &amp; Associates</w:t>
            </w:r>
          </w:p>
        </w:tc>
        <w:tc>
          <w:tcPr>
            <w:tcW w:w="2628" w:type="dxa"/>
            <w:tcBorders>
              <w:top w:val="single" w:sz="6" w:space="0" w:color="000000"/>
              <w:start w:val="single" w:sz="6" w:space="0" w:color="000000"/>
              <w:bottom w:val="single" w:sz="6" w:space="0" w:color="000000"/>
              <w:end w:val="single" w:sz="6" w:space="0" w:color="000000"/>
            </w:tcBorders>
          </w:tcPr>
          <w:p>
            <w:pPr>
              <w:pStyle w:val="Normal"/>
              <w:rPr>
                <w:b/>
              </w:rPr>
            </w:pPr>
            <w:r>
              <w:rPr>
                <w:b/>
              </w:rPr>
              <w:t>Legislative</w:t>
            </w:r>
          </w:p>
          <w:p>
            <w:pPr>
              <w:pStyle w:val="Normal"/>
              <w:rPr>
                <w:b/>
              </w:rPr>
            </w:pPr>
            <w:r>
              <w:rPr>
                <w:b/>
              </w:rPr>
              <w:t>EFS DOD Authorization</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end"/>
              <w:rPr/>
            </w:pPr>
            <w:r>
              <w:rPr/>
              <w:t>7,000</w:t>
            </w:r>
          </w:p>
        </w:tc>
        <w:tc>
          <w:tcPr>
            <w:tcW w:w="2214" w:type="dxa"/>
            <w:tcBorders>
              <w:top w:val="single" w:sz="6" w:space="0" w:color="000000"/>
              <w:start w:val="single" w:sz="6" w:space="0" w:color="000000"/>
              <w:bottom w:val="single" w:sz="6" w:space="0" w:color="000000"/>
              <w:end w:val="single" w:sz="12" w:space="0" w:color="000000"/>
            </w:tcBorders>
          </w:tcPr>
          <w:p>
            <w:pPr>
              <w:pStyle w:val="Normal"/>
              <w:jc w:val="end"/>
              <w:rPr/>
            </w:pPr>
            <w:r>
              <w:rPr/>
              <w:t>84,000</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rPr/>
            </w:pPr>
            <w:r>
              <w:rPr/>
              <w:t>Fleishman Hillard</w:t>
            </w:r>
          </w:p>
        </w:tc>
        <w:tc>
          <w:tcPr>
            <w:tcW w:w="2628" w:type="dxa"/>
            <w:tcBorders>
              <w:top w:val="single" w:sz="6" w:space="0" w:color="000000"/>
              <w:start w:val="single" w:sz="6" w:space="0" w:color="000000"/>
              <w:bottom w:val="single" w:sz="6" w:space="0" w:color="000000"/>
              <w:end w:val="single" w:sz="6" w:space="0" w:color="000000"/>
            </w:tcBorders>
          </w:tcPr>
          <w:p>
            <w:pPr>
              <w:pStyle w:val="Normal"/>
              <w:rPr>
                <w:b/>
              </w:rPr>
            </w:pPr>
            <w:r>
              <w:rPr>
                <w:b/>
              </w:rPr>
              <w:t>Electricity</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end"/>
              <w:rPr/>
            </w:pPr>
            <w:r>
              <w:rPr/>
              <w:t>55,000</w:t>
            </w:r>
          </w:p>
        </w:tc>
        <w:tc>
          <w:tcPr>
            <w:tcW w:w="2214" w:type="dxa"/>
            <w:tcBorders>
              <w:top w:val="single" w:sz="6" w:space="0" w:color="000000"/>
              <w:start w:val="single" w:sz="6" w:space="0" w:color="000000"/>
              <w:bottom w:val="single" w:sz="6" w:space="0" w:color="000000"/>
              <w:end w:val="single" w:sz="12" w:space="0" w:color="000000"/>
            </w:tcBorders>
          </w:tcPr>
          <w:p>
            <w:pPr>
              <w:pStyle w:val="Normal"/>
              <w:jc w:val="end"/>
              <w:rPr/>
            </w:pPr>
            <w:r>
              <w:rPr/>
              <w:t>660,000</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rPr/>
            </w:pPr>
            <w:r>
              <w:rPr/>
              <w:t>Fontheim International</w:t>
            </w:r>
          </w:p>
        </w:tc>
        <w:tc>
          <w:tcPr>
            <w:tcW w:w="2628" w:type="dxa"/>
            <w:tcBorders>
              <w:top w:val="single" w:sz="6" w:space="0" w:color="000000"/>
              <w:start w:val="single" w:sz="6" w:space="0" w:color="000000"/>
              <w:bottom w:val="single" w:sz="6" w:space="0" w:color="000000"/>
              <w:end w:val="single" w:sz="6" w:space="0" w:color="000000"/>
            </w:tcBorders>
          </w:tcPr>
          <w:p>
            <w:pPr>
              <w:pStyle w:val="Normal"/>
              <w:rPr>
                <w:b/>
              </w:rPr>
            </w:pPr>
            <w:r>
              <w:rPr>
                <w:b/>
              </w:rPr>
              <w:t xml:space="preserve">International Issues and </w:t>
            </w:r>
          </w:p>
          <w:p>
            <w:pPr>
              <w:pStyle w:val="Normal"/>
              <w:rPr>
                <w:b/>
              </w:rPr>
            </w:pPr>
            <w:r>
              <w:rPr>
                <w:b/>
              </w:rPr>
              <w:t>Democratic Contacts</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end"/>
              <w:rPr/>
            </w:pPr>
            <w:r>
              <w:rPr/>
              <w:t>12,000</w:t>
            </w:r>
          </w:p>
        </w:tc>
        <w:tc>
          <w:tcPr>
            <w:tcW w:w="2214" w:type="dxa"/>
            <w:tcBorders>
              <w:top w:val="single" w:sz="6" w:space="0" w:color="000000"/>
              <w:start w:val="single" w:sz="6" w:space="0" w:color="000000"/>
              <w:bottom w:val="single" w:sz="6" w:space="0" w:color="000000"/>
              <w:end w:val="single" w:sz="12" w:space="0" w:color="000000"/>
            </w:tcBorders>
          </w:tcPr>
          <w:p>
            <w:pPr>
              <w:pStyle w:val="Normal"/>
              <w:jc w:val="end"/>
              <w:rPr/>
            </w:pPr>
            <w:r>
              <w:rPr/>
              <w:t>144,000</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rPr/>
            </w:pPr>
            <w:r>
              <w:rPr/>
              <w:t>Hills &amp; Company</w:t>
            </w:r>
          </w:p>
        </w:tc>
        <w:tc>
          <w:tcPr>
            <w:tcW w:w="2628" w:type="dxa"/>
            <w:tcBorders>
              <w:top w:val="single" w:sz="6" w:space="0" w:color="000000"/>
              <w:start w:val="single" w:sz="6" w:space="0" w:color="000000"/>
              <w:bottom w:val="single" w:sz="6" w:space="0" w:color="000000"/>
              <w:end w:val="single" w:sz="6" w:space="0" w:color="000000"/>
            </w:tcBorders>
          </w:tcPr>
          <w:p>
            <w:pPr>
              <w:pStyle w:val="Normal"/>
              <w:rPr>
                <w:b/>
              </w:rPr>
            </w:pPr>
            <w:r>
              <w:rPr>
                <w:b/>
              </w:rPr>
              <w:t>International Issues (energy, financial, and e-commerce issues at WTO)</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end"/>
              <w:rPr/>
            </w:pPr>
            <w:r>
              <w:rPr/>
              <w:t>24,000</w:t>
            </w:r>
          </w:p>
        </w:tc>
        <w:tc>
          <w:tcPr>
            <w:tcW w:w="2214" w:type="dxa"/>
            <w:tcBorders>
              <w:top w:val="single" w:sz="6" w:space="0" w:color="000000"/>
              <w:start w:val="single" w:sz="6" w:space="0" w:color="000000"/>
              <w:bottom w:val="single" w:sz="6" w:space="0" w:color="000000"/>
              <w:end w:val="single" w:sz="12" w:space="0" w:color="000000"/>
            </w:tcBorders>
          </w:tcPr>
          <w:p>
            <w:pPr>
              <w:pStyle w:val="Normal"/>
              <w:jc w:val="end"/>
              <w:rPr/>
            </w:pPr>
            <w:r>
              <w:rPr/>
              <w:t>288,000</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rPr/>
            </w:pPr>
            <w:r>
              <w:rPr/>
              <w:t>Johnston &amp; Associates</w:t>
            </w:r>
          </w:p>
        </w:tc>
        <w:tc>
          <w:tcPr>
            <w:tcW w:w="2628" w:type="dxa"/>
            <w:tcBorders>
              <w:top w:val="single" w:sz="6" w:space="0" w:color="000000"/>
              <w:start w:val="single" w:sz="6" w:space="0" w:color="000000"/>
              <w:bottom w:val="single" w:sz="6" w:space="0" w:color="000000"/>
              <w:end w:val="single" w:sz="6" w:space="0" w:color="000000"/>
            </w:tcBorders>
          </w:tcPr>
          <w:p>
            <w:pPr>
              <w:pStyle w:val="Normal"/>
              <w:rPr>
                <w:b/>
              </w:rPr>
            </w:pPr>
            <w:r>
              <w:rPr>
                <w:b/>
              </w:rPr>
              <w:t>EBS, Right of Way</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end"/>
              <w:rPr/>
            </w:pPr>
            <w:r>
              <w:rPr/>
              <w:t>15,000</w:t>
            </w:r>
          </w:p>
        </w:tc>
        <w:tc>
          <w:tcPr>
            <w:tcW w:w="2214" w:type="dxa"/>
            <w:tcBorders>
              <w:top w:val="single" w:sz="6" w:space="0" w:color="000000"/>
              <w:start w:val="single" w:sz="6" w:space="0" w:color="000000"/>
              <w:bottom w:val="single" w:sz="6" w:space="0" w:color="000000"/>
              <w:end w:val="single" w:sz="12" w:space="0" w:color="000000"/>
            </w:tcBorders>
          </w:tcPr>
          <w:p>
            <w:pPr>
              <w:pStyle w:val="Normal"/>
              <w:jc w:val="end"/>
              <w:rPr/>
            </w:pPr>
            <w:r>
              <w:rPr/>
              <w:t>180,000</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Heading2"/>
              <w:ind w:hanging="0" w:start="0"/>
              <w:rPr>
                <w:b w:val="false"/>
                <w:bCs/>
                <w:sz w:val="24"/>
              </w:rPr>
            </w:pPr>
            <w:r>
              <w:rPr>
                <w:b w:val="false"/>
                <w:bCs/>
                <w:sz w:val="24"/>
              </w:rPr>
              <w:t>Philip Hughes</w:t>
            </w:r>
          </w:p>
        </w:tc>
        <w:tc>
          <w:tcPr>
            <w:tcW w:w="2628" w:type="dxa"/>
            <w:tcBorders>
              <w:top w:val="single" w:sz="6" w:space="0" w:color="000000"/>
              <w:start w:val="single" w:sz="6" w:space="0" w:color="000000"/>
              <w:bottom w:val="single" w:sz="6" w:space="0" w:color="000000"/>
              <w:end w:val="single" w:sz="6" w:space="0" w:color="000000"/>
            </w:tcBorders>
          </w:tcPr>
          <w:p>
            <w:pPr>
              <w:pStyle w:val="Normal"/>
              <w:rPr>
                <w:b/>
              </w:rPr>
            </w:pPr>
            <w:r>
              <w:rPr>
                <w:b/>
              </w:rPr>
              <w:t>US Bolivia Business Partnership</w:t>
            </w:r>
          </w:p>
        </w:tc>
        <w:tc>
          <w:tcPr>
            <w:tcW w:w="1800" w:type="dxa"/>
            <w:tcBorders>
              <w:top w:val="single" w:sz="6" w:space="0" w:color="000000"/>
              <w:start w:val="single" w:sz="6" w:space="0" w:color="000000"/>
              <w:bottom w:val="single" w:sz="6" w:space="0" w:color="000000"/>
              <w:end w:val="single" w:sz="6" w:space="0" w:color="000000"/>
            </w:tcBorders>
          </w:tcPr>
          <w:p>
            <w:pPr>
              <w:pStyle w:val="Normal"/>
              <w:jc w:val="end"/>
              <w:rPr/>
            </w:pPr>
            <w:r>
              <w:rPr/>
              <w:t>4,000</w:t>
            </w:r>
          </w:p>
        </w:tc>
        <w:tc>
          <w:tcPr>
            <w:tcW w:w="2214" w:type="dxa"/>
            <w:tcBorders>
              <w:top w:val="single" w:sz="6" w:space="0" w:color="000000"/>
              <w:start w:val="single" w:sz="6" w:space="0" w:color="000000"/>
              <w:bottom w:val="single" w:sz="6" w:space="0" w:color="000000"/>
              <w:end w:val="single" w:sz="12" w:space="0" w:color="000000"/>
            </w:tcBorders>
          </w:tcPr>
          <w:p>
            <w:pPr>
              <w:pStyle w:val="Normal"/>
              <w:jc w:val="end"/>
              <w:rPr/>
            </w:pPr>
            <w:r>
              <w:rPr/>
              <w:t>48,000</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rPr>
                <w:b/>
              </w:rPr>
            </w:pPr>
            <w:r>
              <w:rPr>
                <w:b/>
              </w:rPr>
              <w:t>TOTAL</w:t>
            </w:r>
          </w:p>
        </w:tc>
        <w:tc>
          <w:tcPr>
            <w:tcW w:w="2628"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800" w:type="dxa"/>
            <w:tcBorders>
              <w:top w:val="single" w:sz="6" w:space="0" w:color="000000"/>
              <w:start w:val="single" w:sz="6" w:space="0" w:color="000000"/>
              <w:bottom w:val="single" w:sz="6" w:space="0" w:color="000000"/>
              <w:end w:val="single" w:sz="6" w:space="0" w:color="000000"/>
            </w:tcBorders>
          </w:tcPr>
          <w:p>
            <w:pPr>
              <w:pStyle w:val="Normal"/>
              <w:jc w:val="end"/>
              <w:rPr>
                <w:b/>
              </w:rPr>
            </w:pPr>
            <w:r>
              <w:rPr>
                <w:b/>
              </w:rPr>
              <w:t>40,000</w:t>
            </w:r>
          </w:p>
        </w:tc>
        <w:tc>
          <w:tcPr>
            <w:tcW w:w="2214" w:type="dxa"/>
            <w:tcBorders>
              <w:top w:val="single" w:sz="6" w:space="0" w:color="000000"/>
              <w:start w:val="single" w:sz="6" w:space="0" w:color="000000"/>
              <w:bottom w:val="single" w:sz="6" w:space="0" w:color="000000"/>
              <w:end w:val="single" w:sz="12" w:space="0" w:color="000000"/>
            </w:tcBorders>
          </w:tcPr>
          <w:p>
            <w:pPr>
              <w:pStyle w:val="Normal"/>
              <w:jc w:val="end"/>
              <w:rPr>
                <w:b/>
              </w:rPr>
            </w:pPr>
            <w:r>
              <w:rPr>
                <w:b/>
              </w:rPr>
              <w:t>1,704,000</w:t>
            </w:r>
          </w:p>
        </w:tc>
      </w:tr>
      <w:tr>
        <w:trPr/>
        <w:tc>
          <w:tcPr>
            <w:tcW w:w="2880" w:type="dxa"/>
            <w:tcBorders>
              <w:top w:val="single" w:sz="6" w:space="0" w:color="000000"/>
              <w:start w:val="single" w:sz="12" w:space="0" w:color="000000"/>
              <w:bottom w:val="single" w:sz="12" w:space="0" w:color="000000"/>
              <w:end w:val="single" w:sz="6" w:space="0" w:color="000000"/>
            </w:tcBorders>
          </w:tcPr>
          <w:p>
            <w:pPr>
              <w:pStyle w:val="Normal"/>
              <w:snapToGrid w:val="false"/>
              <w:rPr>
                <w:b/>
              </w:rPr>
            </w:pPr>
            <w:r>
              <w:rPr>
                <w:b/>
              </w:rPr>
            </w:r>
          </w:p>
        </w:tc>
        <w:tc>
          <w:tcPr>
            <w:tcW w:w="2628" w:type="dxa"/>
            <w:tcBorders>
              <w:top w:val="single" w:sz="6" w:space="0" w:color="000000"/>
              <w:start w:val="single" w:sz="6" w:space="0" w:color="000000"/>
              <w:bottom w:val="single" w:sz="12" w:space="0" w:color="000000"/>
              <w:end w:val="single" w:sz="6" w:space="0" w:color="000000"/>
            </w:tcBorders>
          </w:tcPr>
          <w:p>
            <w:pPr>
              <w:pStyle w:val="Normal"/>
              <w:snapToGrid w:val="false"/>
              <w:rPr>
                <w:b/>
              </w:rPr>
            </w:pPr>
            <w:r>
              <w:rPr>
                <w:b/>
              </w:rPr>
            </w:r>
          </w:p>
        </w:tc>
        <w:tc>
          <w:tcPr>
            <w:tcW w:w="1800" w:type="dxa"/>
            <w:tcBorders>
              <w:top w:val="single" w:sz="6" w:space="0" w:color="000000"/>
              <w:start w:val="single" w:sz="6" w:space="0" w:color="000000"/>
              <w:bottom w:val="single" w:sz="12" w:space="0" w:color="000000"/>
              <w:end w:val="single" w:sz="6" w:space="0" w:color="000000"/>
            </w:tcBorders>
          </w:tcPr>
          <w:p>
            <w:pPr>
              <w:pStyle w:val="Normal"/>
              <w:snapToGrid w:val="false"/>
              <w:rPr>
                <w:b/>
              </w:rPr>
            </w:pPr>
            <w:r>
              <w:rPr>
                <w:b/>
              </w:rPr>
            </w:r>
          </w:p>
        </w:tc>
        <w:tc>
          <w:tcPr>
            <w:tcW w:w="2214" w:type="dxa"/>
            <w:tcBorders>
              <w:top w:val="single" w:sz="6" w:space="0" w:color="000000"/>
              <w:start w:val="single" w:sz="6" w:space="0" w:color="000000"/>
              <w:bottom w:val="single" w:sz="12" w:space="0" w:color="000000"/>
              <w:end w:val="single" w:sz="12" w:space="0" w:color="000000"/>
            </w:tcBorders>
          </w:tcPr>
          <w:p>
            <w:pPr>
              <w:pStyle w:val="Normal"/>
              <w:snapToGrid w:val="false"/>
              <w:rPr>
                <w:b/>
              </w:rPr>
            </w:pPr>
            <w:r>
              <w:rPr>
                <w:b/>
              </w:rPr>
            </w:r>
          </w:p>
        </w:tc>
      </w:tr>
    </w:tbl>
    <w:p>
      <w:pPr>
        <w:pStyle w:val="Normal"/>
        <w:rPr/>
      </w:pPr>
      <w:r>
        <w:rPr/>
      </w:r>
    </w:p>
    <w:p>
      <w:pPr>
        <w:pStyle w:val="Normal"/>
        <w:rPr/>
      </w:pPr>
      <w:r>
        <w:rPr/>
      </w:r>
    </w:p>
    <w:p>
      <w:pPr>
        <w:pStyle w:val="BodyText"/>
        <w:ind w:hanging="1440" w:start="1440" w:end="0"/>
        <w:rPr/>
      </w:pPr>
      <w:r>
        <w:rPr/>
        <w:t>Question:</w:t>
        <w:tab/>
        <w:t>We have not budgeted for McLarty and Associates since that has been a Ken Lay retainer.  Will we now carry McLarty and Associates on our budget?</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sz w:val="20"/>
      <w:szCs w:val="20"/>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2000-10-27T17:00:00Z</dcterms:created>
  <dc:creator>ccooney</dc:creator>
  <dc:description/>
  <dc:language>en-CA</dc:language>
  <cp:lastModifiedBy>ccooney</cp:lastModifiedBy>
  <cp:lastPrinted>2000-10-27T09:45:00Z</cp:lastPrinted>
  <dcterms:modified xsi:type="dcterms:W3CDTF">2000-10-27T17:00:00Z</dcterms:modified>
  <cp:revision>2</cp:revision>
  <dc:subject/>
  <dc:title>Discretionary vs</dc:title>
</cp:coreProperties>
</file>