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 xml:space="preserve">J. MCKAY 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FIRST DELIVERY - PURE RESOURCES, KUTCHKA #1, VICTORIA COUNTY</w:t>
            </w:r>
          </w:p>
          <w:p>
            <w:pPr>
              <w:pStyle w:val="Subject"/>
              <w:rPr/>
            </w:pPr>
            <w:r>
              <w:rPr/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April 18, 2001</w:t>
            </w:r>
          </w:p>
          <w:p>
            <w:pPr>
              <w:pStyle w:val="Date"/>
              <w:rPr/>
            </w:pPr>
            <w:r>
              <w:rPr/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>Pure Resources, Kutchka #1 was put on line for first delivery on April 17, 2001 at 2:00PM at an initial delivery rate of 425 mcf/d.  This is at HPL Meter #098-9882 and HPL 18” Line.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  <w:bCs/>
        </w:rPr>
        <w:t>CC:</w:t>
        <w:tab/>
      </w:r>
      <w:r>
        <w:rPr/>
        <w:t>M. CARRIERE, D. CONSEMIU, R. COOK, J. FOSDICK, L. ALLEN, E. WARDLE, J. ZIVELY, G. BRYAN, C. CERNOSEK, G. HANKS, R. HANSEN, L. HESSE, M. JOHNSON, C. JONES, H. CAMP, W. LIGHTFOOT, N. HLAVATY, S. SMITH, M. SMITH, S. SCHNEIDER, D. GIRON,  M. GRAVES, O. WINFREE, R. WYNNE, D. REINHARDT, V. TAYLOR, B. RILEY, J. AUSTIN, C. HAKEMACK, D. KENNE, L. CSIKOS,  B. COTTEN, D. BAUMBACH, M. WALTERS, H. WITHERS, C. RODRIGUEZ, S. GOMES, T. ACTON, P. CLYNES, R. WALKER, G. WEISSMAN, J. HARRIS, C. SWEENEY, D. FARMER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  <w:szCs w:val="16"/>
      </w:rPr>
    </w:pPr>
    <w:r>
      <w:rPr>
        <w:b/>
        <w:bCs/>
        <w:sz w:val="16"/>
        <w:szCs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  <w:szCs w:val="12"/>
      </w:rPr>
    </w:pPr>
    <w:r>
      <w:rPr>
        <w:sz w:val="12"/>
        <w:szCs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eastAsia="Arial" w:cs="Arial"/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eastAsia="Arial" w:cs="Arial"/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58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1999-06-07T16:17:00Z</dcterms:created>
  <dc:creator>appinst</dc:creator>
  <dc:description/>
  <dc:language>en-CA</dc:language>
  <cp:lastModifiedBy>appinst</cp:lastModifiedBy>
  <cp:lastPrinted>1999-06-07T13:47:00Z</cp:lastPrinted>
  <dcterms:modified xsi:type="dcterms:W3CDTF">2001-04-18T13:21:00Z</dcterms:modified>
  <cp:revision>35</cp:revision>
  <dc:subject>FIRST DELIVERY - </dc:subject>
  <dc:title>Eron Capital &amp; Trade Resources Memo</dc:title>
</cp:coreProperties>
</file>