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Steve Montovano</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Dan Allegretti</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State 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Fuel Cells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October 30, 2001</w:t>
            </w:r>
          </w:p>
        </w:tc>
      </w:tr>
    </w:tbl>
    <w:p>
      <w:pPr>
        <w:pStyle w:val="Body"/>
        <w:rPr>
          <w:sz w:val="24"/>
        </w:rPr>
      </w:pPr>
      <w:r>
        <w:rPr>
          <w:sz w:val="24"/>
        </w:rPr>
      </w:r>
      <w:bookmarkStart w:id="1" w:name="StartOfMemo"/>
      <w:bookmarkStart w:id="2" w:name="StartOfMemo"/>
      <w:bookmarkEnd w:id="2"/>
    </w:p>
    <w:p>
      <w:pPr>
        <w:pStyle w:val="Body"/>
        <w:rPr>
          <w:sz w:val="24"/>
        </w:rPr>
      </w:pPr>
      <w:r>
        <w:rPr>
          <w:sz w:val="24"/>
        </w:rPr>
        <w:t>Following your conversation with Governor Rowland last week the Governor met yesterday with our lobbyist, Mike Martone.  Mike provided me the following information from that meeting and from other conversations he has had recently.</w:t>
      </w:r>
    </w:p>
    <w:p>
      <w:pPr>
        <w:pStyle w:val="Body"/>
        <w:rPr>
          <w:sz w:val="24"/>
        </w:rPr>
      </w:pPr>
      <w:r>
        <w:rPr>
          <w:sz w:val="24"/>
        </w:rPr>
      </w:r>
    </w:p>
    <w:p>
      <w:pPr>
        <w:pStyle w:val="Body"/>
        <w:ind w:hanging="648" w:start="720" w:end="0"/>
        <w:rPr/>
      </w:pPr>
      <w:r>
        <w:rPr>
          <w:rFonts w:cs="Arial"/>
          <w:sz w:val="24"/>
        </w:rPr>
        <w:t>•</w:t>
      </w:r>
      <w:r>
        <w:rPr>
          <w:sz w:val="24"/>
        </w:rPr>
        <w:tab/>
        <w:t>Governor Rowland wants to do the project which must include our partner the Connecticut Resource Recovery Authority.</w:t>
      </w:r>
    </w:p>
    <w:p>
      <w:pPr>
        <w:pStyle w:val="Body"/>
        <w:ind w:hanging="648" w:start="720" w:end="0"/>
        <w:rPr>
          <w:sz w:val="24"/>
        </w:rPr>
      </w:pPr>
      <w:r>
        <w:rPr>
          <w:sz w:val="24"/>
        </w:rPr>
      </w:r>
    </w:p>
    <w:p>
      <w:pPr>
        <w:pStyle w:val="Body"/>
        <w:ind w:hanging="648" w:start="720" w:end="0"/>
        <w:rPr/>
      </w:pPr>
      <w:r>
        <w:rPr>
          <w:rFonts w:cs="Arial"/>
          <w:sz w:val="24"/>
        </w:rPr>
        <w:t>•</w:t>
      </w:r>
      <w:r>
        <w:rPr>
          <w:sz w:val="24"/>
        </w:rPr>
        <w:tab/>
        <w:t>Governor Rowland does not want the project to be headed by Peter Ellef (his chief of staff and Chairman of CRRA) but by Arthur Deidrick, who oversees the Renewable Energy Investment Fund.</w:t>
      </w:r>
    </w:p>
    <w:p>
      <w:pPr>
        <w:pStyle w:val="Body"/>
        <w:ind w:hanging="648" w:start="720" w:end="0"/>
        <w:rPr>
          <w:sz w:val="24"/>
        </w:rPr>
      </w:pPr>
      <w:r>
        <w:rPr>
          <w:sz w:val="24"/>
        </w:rPr>
      </w:r>
    </w:p>
    <w:p>
      <w:pPr>
        <w:pStyle w:val="Body"/>
        <w:ind w:hanging="648" w:start="720" w:end="0"/>
        <w:rPr/>
      </w:pPr>
      <w:r>
        <w:rPr>
          <w:rFonts w:cs="Arial"/>
          <w:sz w:val="24"/>
        </w:rPr>
        <w:t>•</w:t>
      </w:r>
      <w:r>
        <w:rPr>
          <w:sz w:val="24"/>
        </w:rPr>
        <w:tab/>
        <w:t>Governor Rowland wants a Connecticut project and does not want to put it out for an RFP for an out-of-state development.</w:t>
      </w:r>
    </w:p>
    <w:p>
      <w:pPr>
        <w:pStyle w:val="Body"/>
        <w:ind w:hanging="648" w:start="720" w:end="0"/>
        <w:rPr>
          <w:sz w:val="24"/>
        </w:rPr>
      </w:pPr>
      <w:r>
        <w:rPr>
          <w:sz w:val="24"/>
        </w:rPr>
      </w:r>
    </w:p>
    <w:p>
      <w:pPr>
        <w:pStyle w:val="Body"/>
        <w:ind w:hanging="648" w:start="720" w:end="0"/>
        <w:rPr/>
      </w:pPr>
      <w:r>
        <w:rPr>
          <w:rFonts w:cs="Arial"/>
          <w:sz w:val="24"/>
        </w:rPr>
        <w:t>•</w:t>
      </w:r>
      <w:r>
        <w:rPr>
          <w:sz w:val="24"/>
        </w:rPr>
        <w:tab/>
        <w:t>Governor Rowland wanted to know why United Technologies was excluded from the project.  Martone responded that they were considerably more expensive than Fuel Cell Energy and that CRRA had strong objections to UTC.  He also told the Governor that Enron would not be averse to considering their inclusion if the Governor wishes it.</w:t>
      </w:r>
    </w:p>
    <w:p>
      <w:pPr>
        <w:pStyle w:val="Body"/>
        <w:ind w:hanging="648" w:start="720" w:end="0"/>
        <w:rPr>
          <w:sz w:val="24"/>
        </w:rPr>
      </w:pPr>
      <w:r>
        <w:rPr>
          <w:sz w:val="24"/>
        </w:rPr>
      </w:r>
    </w:p>
    <w:p>
      <w:pPr>
        <w:pStyle w:val="Body"/>
        <w:ind w:hanging="648" w:start="720" w:end="0"/>
        <w:rPr/>
      </w:pPr>
      <w:r>
        <w:rPr>
          <w:rFonts w:cs="Arial"/>
          <w:sz w:val="24"/>
        </w:rPr>
        <w:t>•</w:t>
      </w:r>
      <w:r>
        <w:rPr>
          <w:sz w:val="24"/>
        </w:rPr>
        <w:tab/>
        <w:t>Mike Martone informed the Governor that the Senate chair of the Joint Committee on Energy is amenable next session to re-allocating funds allocated for conservation to augment the Renewable Energy Investment Fund in order to support the project.</w:t>
      </w:r>
    </w:p>
    <w:p>
      <w:pPr>
        <w:pStyle w:val="Body"/>
        <w:ind w:hanging="648" w:start="720" w:end="0"/>
        <w:rPr>
          <w:sz w:val="24"/>
        </w:rPr>
      </w:pPr>
      <w:r>
        <w:rPr>
          <w:sz w:val="24"/>
        </w:rPr>
      </w:r>
    </w:p>
    <w:p>
      <w:pPr>
        <w:pStyle w:val="Body"/>
        <w:ind w:hanging="648" w:start="720" w:end="0"/>
        <w:rPr/>
      </w:pPr>
      <w:r>
        <w:rPr>
          <w:rFonts w:cs="Arial"/>
          <w:sz w:val="24"/>
        </w:rPr>
        <w:t>•</w:t>
      </w:r>
      <w:r>
        <w:rPr>
          <w:sz w:val="24"/>
        </w:rPr>
        <w:tab/>
        <w:t>Governor Rowland instructed his staff to set up a meeting with Arthur Deidrick and Peter Ellef.</w:t>
      </w:r>
    </w:p>
    <w:p>
      <w:pPr>
        <w:pStyle w:val="Body"/>
        <w:ind w:hanging="648" w:start="720" w:end="0"/>
        <w:rPr>
          <w:sz w:val="24"/>
        </w:rPr>
      </w:pPr>
      <w:r>
        <w:rPr>
          <w:sz w:val="24"/>
        </w:rPr>
      </w:r>
    </w:p>
    <w:p>
      <w:pPr>
        <w:pStyle w:val="Body"/>
        <w:ind w:hanging="648" w:start="720" w:end="0"/>
        <w:rPr/>
      </w:pPr>
      <w:r>
        <w:rPr>
          <w:rFonts w:cs="Arial"/>
          <w:sz w:val="24"/>
        </w:rPr>
        <w:t>•</w:t>
      </w:r>
      <w:r>
        <w:rPr>
          <w:sz w:val="24"/>
        </w:rPr>
        <w:tab/>
        <w:t>Senator Peters was also contacted by our lobbyist, Dave McQuade.  Senator Peters remains supportive of the project and will be essential to getting the funds re-allocated.  She is also interested in distributed generation and would like to see some fuel cells located in the southwest Connecticut load pocket.</w:t>
      </w:r>
    </w:p>
    <w:p>
      <w:pPr>
        <w:pStyle w:val="Body"/>
        <w:ind w:hanging="648" w:start="720" w:end="0"/>
        <w:rPr>
          <w:sz w:val="24"/>
        </w:rPr>
      </w:pPr>
      <w:r>
        <w:rPr>
          <w:sz w:val="24"/>
        </w:rPr>
      </w:r>
    </w:p>
    <w:p>
      <w:pPr>
        <w:pStyle w:val="Body"/>
        <w:ind w:hanging="648" w:start="720" w:end="0"/>
        <w:rPr/>
      </w:pPr>
      <w:r>
        <w:rPr>
          <w:rFonts w:cs="Arial"/>
          <w:sz w:val="24"/>
        </w:rPr>
        <w:t>•</w:t>
      </w:r>
      <w:r>
        <w:rPr>
          <w:sz w:val="24"/>
        </w:rPr>
        <w:tab/>
        <w:t>Robert Wright, our primary contact at CRRA, was also contacted.  He remains supportive of the project and is willing to accommodate relocation of some of the units to southwest Connecticut.  He woul like, however, to keep 6 MW in Hartford to provide power to a new urban development project known as Adrian’s Landing.</w:t>
      </w:r>
    </w:p>
    <w:p>
      <w:pPr>
        <w:pStyle w:val="Body"/>
        <w:rPr>
          <w:sz w:val="24"/>
        </w:rPr>
      </w:pPr>
      <w:r>
        <w:rPr>
          <w:sz w:val="24"/>
        </w:rPr>
      </w:r>
    </w:p>
    <w:p>
      <w:pPr>
        <w:pStyle w:val="Body"/>
        <w:rPr>
          <w:sz w:val="24"/>
        </w:rPr>
      </w:pPr>
      <w:r>
        <w:rPr>
          <w:sz w:val="24"/>
        </w:rPr>
      </w:r>
    </w:p>
    <w:p>
      <w:pPr>
        <w:pStyle w:val="Body"/>
        <w:rPr>
          <w:sz w:val="24"/>
        </w:rPr>
      </w:pPr>
      <w:r>
        <w:rPr>
          <w:sz w:val="2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r>
  </w:p>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6"/>
      </w:rPr>
    </w:pPr>
    <w:r>
      <w:rPr>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EESmemo.dot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2001-10-30T17:44:00Z</dcterms:created>
  <dc:creator>ees</dc:creator>
  <dc:description/>
  <dc:language>en-CA</dc:language>
  <cp:lastModifiedBy>Dan Allegretti</cp:lastModifiedBy>
  <cp:lastPrinted>2000-03-06T10:57:00Z</cp:lastPrinted>
  <dcterms:modified xsi:type="dcterms:W3CDTF">2001-10-30T18:16:00Z</dcterms:modified>
  <cp:revision>4</cp:revision>
  <dc:subject/>
  <dc:title>Eron Capital &amp; Trade Resources Memo</dc:title>
</cp:coreProperties>
</file>