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end="180"/>
        <w:rPr/>
      </w:pPr>
      <w:r>
        <w:rPr/>
        <w:t>Enron Fact Sheet</w:t>
      </w:r>
    </w:p>
    <w:p>
      <w:pPr>
        <w:pStyle w:val="Heading"/>
        <w:ind w:end="180"/>
        <w:rPr/>
      </w:pPr>
      <w:r>
        <w:rPr/>
        <w:t>2000</w:t>
      </w:r>
    </w:p>
    <w:p>
      <w:pPr>
        <w:pStyle w:val="Heading"/>
        <w:ind w:end="180"/>
        <w:rPr>
          <w:sz w:val="24"/>
        </w:rPr>
      </w:pPr>
      <w:r>
        <w:rPr>
          <w:sz w:val="24"/>
        </w:rPr>
      </w:r>
    </w:p>
    <w:p>
      <w:pPr>
        <w:pStyle w:val="BlockText"/>
        <w:tabs>
          <w:tab w:val="clear" w:pos="5400"/>
          <w:tab w:val="left" w:pos="4320" w:leader="none"/>
        </w:tabs>
        <w:ind w:hanging="4320" w:start="4320" w:end="-180"/>
        <w:jc w:val="both"/>
        <w:rPr/>
      </w:pPr>
      <w:r>
        <w:rPr>
          <w:b/>
        </w:rPr>
        <w:t>Business Overview</w:t>
      </w:r>
      <w:r>
        <w:rPr/>
        <w:tab/>
        <w:t>Enron delivers physical commodities and financial and risk management services to customers around the world, develops, constructs and operates energy facilities worldwide, produces electricity and natural gas, and is developing an intelligent network platform to facilitate online business.</w:t>
      </w:r>
    </w:p>
    <w:p>
      <w:pPr>
        <w:pStyle w:val="Normal"/>
        <w:tabs>
          <w:tab w:val="clear" w:pos="720"/>
          <w:tab w:val="left" w:pos="5400" w:leader="none"/>
        </w:tabs>
        <w:rPr>
          <w:sz w:val="24"/>
        </w:rPr>
      </w:pPr>
      <w:r>
        <w:rPr>
          <w:sz w:val="24"/>
        </w:rPr>
      </w:r>
    </w:p>
    <w:p>
      <w:pPr>
        <w:pStyle w:val="Normal"/>
        <w:tabs>
          <w:tab w:val="clear" w:pos="720"/>
          <w:tab w:val="left" w:pos="4320" w:leader="none"/>
        </w:tabs>
        <w:ind w:hanging="4320" w:start="4320" w:end="0"/>
        <w:jc w:val="both"/>
        <w:rPr/>
      </w:pPr>
      <w:r>
        <w:rPr>
          <w:b/>
          <w:sz w:val="24"/>
        </w:rPr>
        <w:t>Core business segments</w:t>
      </w:r>
      <w:r>
        <w:rPr>
          <w:sz w:val="24"/>
        </w:rPr>
        <w:tab/>
      </w:r>
      <w:r>
        <w:rPr>
          <w:i/>
          <w:sz w:val="24"/>
        </w:rPr>
        <w:t>Wholesale Energy Services</w:t>
      </w:r>
      <w:r>
        <w:rPr>
          <w:sz w:val="24"/>
        </w:rPr>
        <w:t xml:space="preserve"> (delivery of physical commodities and financial and risk management services in the regions of North America, Europe, South America, India, Caribbean, Middle East, Asia and Africa)</w:t>
      </w:r>
    </w:p>
    <w:p>
      <w:pPr>
        <w:pStyle w:val="Normal"/>
        <w:ind w:start="4320" w:end="0"/>
        <w:jc w:val="both"/>
        <w:rPr/>
      </w:pPr>
      <w:r>
        <w:rPr>
          <w:i/>
          <w:sz w:val="24"/>
        </w:rPr>
        <w:t>Retail Energy Services</w:t>
      </w:r>
      <w:r>
        <w:rPr>
          <w:sz w:val="24"/>
        </w:rPr>
        <w:t xml:space="preserve"> (natural gas, electricity and energy outsourcing services sold primarily to commercial and industrial customers)</w:t>
      </w:r>
    </w:p>
    <w:p>
      <w:pPr>
        <w:pStyle w:val="Normal"/>
        <w:tabs>
          <w:tab w:val="clear" w:pos="720"/>
          <w:tab w:val="left" w:pos="4320" w:leader="none"/>
        </w:tabs>
        <w:ind w:hanging="4320" w:start="4320" w:end="0"/>
        <w:jc w:val="both"/>
        <w:rPr/>
      </w:pPr>
      <w:r>
        <w:rPr>
          <w:i/>
          <w:sz w:val="24"/>
        </w:rPr>
        <w:tab/>
        <w:t>Transmission and Distribution</w:t>
      </w:r>
      <w:r>
        <w:rPr>
          <w:sz w:val="24"/>
        </w:rPr>
        <w:t xml:space="preserve"> (Portland General Electric and Gas Pipeline Group, which includes Enron’s wholly owned interstate natural gas pipelines -- Northern Natural Gas Co. and Transwestern Pipeline Co. -- and Enron’s 50% interest in Florida Gas Transmission Co. and 12% interest in Northern Border Pipeline Co.)</w:t>
      </w:r>
    </w:p>
    <w:p>
      <w:pPr>
        <w:pStyle w:val="Normal"/>
        <w:tabs>
          <w:tab w:val="clear" w:pos="720"/>
          <w:tab w:val="left" w:pos="4320" w:leader="none"/>
        </w:tabs>
        <w:ind w:start="4320" w:end="0"/>
        <w:jc w:val="both"/>
        <w:rPr/>
      </w:pPr>
      <w:r>
        <w:rPr>
          <w:i/>
          <w:sz w:val="24"/>
        </w:rPr>
        <w:t xml:space="preserve">Broadband Services </w:t>
      </w:r>
      <w:r>
        <w:rPr>
          <w:sz w:val="24"/>
        </w:rPr>
        <w:t xml:space="preserve">(deploying a leading e-commerce platform for the delivery of e-business applications; providing rich multimedia </w:t>
      </w:r>
      <w:r>
        <w:rPr>
          <w:color w:val="000000"/>
          <w:sz w:val="24"/>
        </w:rPr>
        <w:t>ePowered</w:t>
      </w:r>
      <w:r>
        <w:rPr>
          <w:rFonts w:cs="Symbol" w:ascii="Symbol" w:hAnsi="Symbol"/>
          <w:color w:val="000000"/>
        </w:rPr>
        <w:sym w:font="Symbol" w:char="f0e4"/>
      </w:r>
      <w:r>
        <w:rPr>
          <w:sz w:val="24"/>
        </w:rPr>
        <w:t xml:space="preserve"> application service solutions that enhance online commerce and communications)</w:t>
      </w:r>
    </w:p>
    <w:p>
      <w:pPr>
        <w:pStyle w:val="Normal"/>
        <w:tabs>
          <w:tab w:val="clear" w:pos="720"/>
          <w:tab w:val="left" w:pos="5400" w:leader="none"/>
        </w:tabs>
        <w:rPr>
          <w:sz w:val="24"/>
        </w:rPr>
      </w:pPr>
      <w:r>
        <w:rPr>
          <w:sz w:val="24"/>
        </w:rPr>
      </w:r>
    </w:p>
    <w:p>
      <w:pPr>
        <w:pStyle w:val="Heading1"/>
        <w:ind w:hanging="0" w:start="0"/>
        <w:rPr/>
      </w:pPr>
      <w:r>
        <w:rPr>
          <w:b/>
        </w:rPr>
        <w:t>Assets</w:t>
      </w:r>
      <w:r>
        <w:rPr/>
        <w:tab/>
        <w:t>$37 billion</w:t>
      </w:r>
    </w:p>
    <w:p>
      <w:pPr>
        <w:pStyle w:val="Normal"/>
        <w:tabs>
          <w:tab w:val="clear" w:pos="720"/>
          <w:tab w:val="left" w:pos="5400" w:leader="none"/>
        </w:tabs>
        <w:rPr>
          <w:sz w:val="24"/>
        </w:rPr>
      </w:pPr>
      <w:r>
        <w:rPr>
          <w:sz w:val="24"/>
        </w:rPr>
      </w:r>
    </w:p>
    <w:p>
      <w:pPr>
        <w:pStyle w:val="Normal"/>
        <w:tabs>
          <w:tab w:val="clear" w:pos="720"/>
          <w:tab w:val="left" w:pos="4320" w:leader="none"/>
        </w:tabs>
        <w:rPr/>
      </w:pPr>
      <w:r>
        <w:rPr>
          <w:b/>
          <w:sz w:val="24"/>
        </w:rPr>
        <w:t>1999 revenues</w:t>
      </w:r>
      <w:r>
        <w:rPr>
          <w:sz w:val="24"/>
        </w:rPr>
        <w:tab/>
        <w:t>$40.1 billion</w:t>
      </w:r>
    </w:p>
    <w:p>
      <w:pPr>
        <w:pStyle w:val="Normal"/>
        <w:tabs>
          <w:tab w:val="clear" w:pos="720"/>
          <w:tab w:val="left" w:pos="4320" w:leader="none"/>
          <w:tab w:val="left" w:pos="5400" w:leader="none"/>
        </w:tabs>
        <w:rPr>
          <w:sz w:val="24"/>
        </w:rPr>
      </w:pPr>
      <w:r>
        <w:rPr>
          <w:sz w:val="24"/>
        </w:rPr>
      </w:r>
    </w:p>
    <w:p>
      <w:pPr>
        <w:pStyle w:val="Normal"/>
        <w:tabs>
          <w:tab w:val="clear" w:pos="720"/>
          <w:tab w:val="left" w:pos="4320" w:leader="none"/>
        </w:tabs>
        <w:rPr/>
      </w:pPr>
      <w:r>
        <w:rPr>
          <w:b/>
          <w:sz w:val="24"/>
        </w:rPr>
        <w:t>1999 reported net income</w:t>
      </w:r>
      <w:r>
        <w:rPr>
          <w:sz w:val="24"/>
        </w:rPr>
        <w:tab/>
        <w:t>$893 million, or $1.10 per share diluted</w:t>
      </w:r>
    </w:p>
    <w:p>
      <w:pPr>
        <w:pStyle w:val="Normal"/>
        <w:tabs>
          <w:tab w:val="clear" w:pos="720"/>
          <w:tab w:val="left" w:pos="5400" w:leader="none"/>
        </w:tabs>
        <w:rPr>
          <w:sz w:val="24"/>
        </w:rPr>
      </w:pPr>
      <w:r>
        <w:rPr>
          <w:sz w:val="24"/>
        </w:rPr>
      </w:r>
    </w:p>
    <w:p>
      <w:pPr>
        <w:pStyle w:val="Heading1"/>
        <w:ind w:hanging="0" w:start="0"/>
        <w:rPr/>
      </w:pPr>
      <w:r>
        <w:rPr>
          <w:b/>
        </w:rPr>
        <w:t>Number of employees</w:t>
      </w:r>
      <w:r>
        <w:rPr/>
        <w:tab/>
        <w:t>18,000 worldwide</w:t>
      </w:r>
    </w:p>
    <w:p>
      <w:pPr>
        <w:pStyle w:val="Normal"/>
        <w:tabs>
          <w:tab w:val="clear" w:pos="720"/>
          <w:tab w:val="left" w:pos="5400" w:leader="none"/>
        </w:tabs>
        <w:rPr>
          <w:sz w:val="24"/>
        </w:rPr>
      </w:pPr>
      <w:r>
        <w:rPr>
          <w:sz w:val="24"/>
        </w:rPr>
      </w:r>
    </w:p>
    <w:p>
      <w:pPr>
        <w:pStyle w:val="Heading1"/>
        <w:ind w:hanging="0" w:start="0"/>
        <w:rPr/>
      </w:pPr>
      <w:r>
        <w:rPr>
          <w:b/>
        </w:rPr>
        <w:t>Number of countries where active</w:t>
      </w:r>
      <w:r>
        <w:rPr/>
        <w:tab/>
        <w:t>44</w:t>
      </w:r>
    </w:p>
    <w:p>
      <w:pPr>
        <w:pStyle w:val="Normal"/>
        <w:tabs>
          <w:tab w:val="clear" w:pos="720"/>
          <w:tab w:val="left" w:pos="5400" w:leader="none"/>
        </w:tabs>
        <w:rPr>
          <w:sz w:val="24"/>
        </w:rPr>
      </w:pPr>
      <w:r>
        <w:rPr>
          <w:sz w:val="24"/>
        </w:rPr>
      </w:r>
    </w:p>
    <w:p>
      <w:pPr>
        <w:pStyle w:val="Heading1"/>
        <w:ind w:hanging="0" w:start="0"/>
        <w:rPr/>
      </w:pPr>
      <w:r>
        <w:rPr>
          <w:b/>
        </w:rPr>
        <w:t>Headquarters</w:t>
      </w:r>
      <w:r>
        <w:rPr/>
        <w:tab/>
        <w:t>Houston, Texas</w:t>
      </w:r>
    </w:p>
    <w:p>
      <w:pPr>
        <w:pStyle w:val="Normal"/>
        <w:tabs>
          <w:tab w:val="clear" w:pos="720"/>
          <w:tab w:val="left" w:pos="5400" w:leader="none"/>
        </w:tabs>
        <w:rPr>
          <w:sz w:val="24"/>
        </w:rPr>
      </w:pPr>
      <w:r>
        <w:rPr>
          <w:sz w:val="24"/>
        </w:rPr>
      </w:r>
    </w:p>
    <w:p>
      <w:pPr>
        <w:pStyle w:val="Heading1"/>
        <w:ind w:hanging="0" w:start="0"/>
        <w:rPr/>
      </w:pPr>
      <w:r>
        <w:rPr>
          <w:b/>
        </w:rPr>
        <w:t>Internet Address</w:t>
      </w:r>
      <w:r>
        <w:rPr/>
        <w:tab/>
        <w:t>www.enron.com</w:t>
      </w:r>
    </w:p>
    <w:p>
      <w:pPr>
        <w:pStyle w:val="Normal"/>
        <w:tabs>
          <w:tab w:val="clear" w:pos="720"/>
          <w:tab w:val="left" w:pos="5400" w:leader="none"/>
        </w:tabs>
        <w:rPr>
          <w:sz w:val="24"/>
        </w:rPr>
      </w:pPr>
      <w:r>
        <w:rPr>
          <w:sz w:val="24"/>
        </w:rPr>
      </w:r>
    </w:p>
    <w:p>
      <w:pPr>
        <w:pStyle w:val="Heading1"/>
        <w:ind w:hanging="0" w:start="0"/>
        <w:rPr/>
      </w:pPr>
      <w:r>
        <w:rPr>
          <w:b/>
        </w:rPr>
        <w:t>Stock symbol</w:t>
      </w:r>
      <w:r>
        <w:rPr/>
        <w:tab/>
        <w:t>ENE</w:t>
      </w:r>
    </w:p>
    <w:p>
      <w:pPr>
        <w:pStyle w:val="Normal"/>
        <w:tabs>
          <w:tab w:val="clear" w:pos="720"/>
          <w:tab w:val="left" w:pos="5400" w:leader="none"/>
        </w:tabs>
        <w:rPr>
          <w:sz w:val="24"/>
        </w:rPr>
      </w:pPr>
      <w:r>
        <w:rPr>
          <w:sz w:val="24"/>
        </w:rPr>
      </w:r>
    </w:p>
    <w:p>
      <w:pPr>
        <w:pStyle w:val="BodyTextIndent"/>
        <w:jc w:val="both"/>
        <w:rPr/>
      </w:pPr>
      <w:r>
        <w:rPr>
          <w:b/>
        </w:rPr>
        <w:t>History</w:t>
      </w:r>
      <w:r>
        <w:rPr/>
        <w:tab/>
        <w:t>Enron was formed in July 1985 as a result of the merger of Houston Natural Gas and InterNorth of Omaha.</w:t>
      </w:r>
    </w:p>
    <w:p>
      <w:pPr>
        <w:pStyle w:val="Normal"/>
        <w:tabs>
          <w:tab w:val="clear" w:pos="720"/>
          <w:tab w:val="left" w:pos="5400" w:leader="none"/>
        </w:tabs>
        <w:rPr>
          <w:sz w:val="24"/>
        </w:rPr>
      </w:pPr>
      <w:r>
        <w:rPr>
          <w:sz w:val="24"/>
        </w:rPr>
      </w:r>
    </w:p>
    <w:p>
      <w:pPr>
        <w:pStyle w:val="Heading1"/>
        <w:ind w:hanging="0" w:start="0"/>
        <w:rPr/>
      </w:pPr>
      <w:r>
        <w:rPr>
          <w:b/>
        </w:rPr>
        <w:t>Office of the Chairman</w:t>
      </w:r>
      <w:r>
        <w:rPr/>
        <w:tab/>
        <w:t>Kenneth L. Lay, chairman and CEO</w:t>
      </w:r>
    </w:p>
    <w:p>
      <w:pPr>
        <w:pStyle w:val="Heading1"/>
        <w:ind w:hanging="0" w:start="0"/>
        <w:rPr/>
      </w:pPr>
      <w:r>
        <w:rPr/>
        <w:tab/>
        <w:t>Jeffrey K. Skilling, president and COO</w:t>
      </w:r>
    </w:p>
    <w:p>
      <w:pPr>
        <w:pStyle w:val="Heading1"/>
        <w:ind w:hanging="0" w:start="0"/>
        <w:rPr/>
      </w:pPr>
      <w:r>
        <w:rPr/>
        <w:tab/>
        <w:t>Joseph W. Sutton, vice chairman</w:t>
      </w:r>
    </w:p>
    <w:sectPr>
      <w:type w:val="nextPage"/>
      <w:pgSz w:w="12240" w:h="15840"/>
      <w:pgMar w:left="720" w:right="1152" w:gutter="0" w:header="0" w:top="432"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4320" w:leader="none"/>
      </w:tabs>
      <w:outlineLvl w:val="0"/>
    </w:pPr>
    <w:rPr>
      <w:sz w:val="24"/>
    </w:rPr>
  </w:style>
  <w:style w:type="character" w:styleId="DefaultParagraphFont">
    <w:name w:val="Default Paragraph Font"/>
    <w:qFormat/>
    <w:rPr/>
  </w:style>
  <w:style w:type="paragraph" w:styleId="Heading">
    <w:name w:val="Heading"/>
    <w:basedOn w:val="Normal"/>
    <w:next w:val="BodyText"/>
    <w:qFormat/>
    <w:pPr>
      <w:tabs>
        <w:tab w:val="clear" w:pos="720"/>
        <w:tab w:val="center" w:pos="4140" w:leader="none"/>
      </w:tabs>
      <w:jc w:val="center"/>
    </w:pPr>
    <w:rPr>
      <w:b/>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tabs>
        <w:tab w:val="clear" w:pos="720"/>
        <w:tab w:val="left" w:pos="5400" w:leader="none"/>
      </w:tabs>
      <w:ind w:hanging="5400" w:start="5400" w:end="-180"/>
    </w:pPr>
    <w:rPr>
      <w:sz w:val="24"/>
    </w:rPr>
  </w:style>
  <w:style w:type="paragraph" w:styleId="BodyTextIndent">
    <w:name w:val="Body Text Indent"/>
    <w:basedOn w:val="Normal"/>
    <w:pPr>
      <w:tabs>
        <w:tab w:val="clear" w:pos="720"/>
        <w:tab w:val="left" w:pos="4320" w:leader="none"/>
      </w:tabs>
      <w:ind w:hanging="4320" w:start="4320" w:end="0"/>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2000-03-29T11:33:00Z</dcterms:created>
  <dc:creator>Enron</dc:creator>
  <dc:description/>
  <dc:language>en-CA</dc:language>
  <cp:lastModifiedBy>kdenne</cp:lastModifiedBy>
  <cp:lastPrinted>1999-10-14T15:36:00Z</cp:lastPrinted>
  <dcterms:modified xsi:type="dcterms:W3CDTF">2000-07-18T19:45:00Z</dcterms:modified>
  <cp:revision>5</cp:revision>
  <dc:subject/>
  <dc:title>	Enron Corp</dc:title>
</cp:coreProperties>
</file>