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rPr>
      </w:pPr>
      <w:r>
        <w:rPr>
          <w:b/>
          <w:sz w:val="40"/>
        </w:rPr>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677795" cy="698500"/>
                <wp:effectExtent l="0" t="0" r="0" b="0"/>
                <wp:wrapTopAndBottom/>
                <wp:docPr id="1" name="Frame1"/>
                <a:graphic xmlns:a="http://schemas.openxmlformats.org/drawingml/2006/main">
                  <a:graphicData uri="http://schemas.microsoft.com/office/word/2010/wordprocessingShape">
                    <wps:wsp>
                      <wps:cNvSpPr txBox="1"/>
                      <wps:spPr>
                        <a:xfrm>
                          <a:off x="0" y="0"/>
                          <a:ext cx="2677795" cy="698500"/>
                        </a:xfrm>
                        <a:prstGeom prst="rect"/>
                        <a:solidFill>
                          <a:srgbClr val="FFFFFF">
                            <a:alpha val="0"/>
                          </a:srgbClr>
                        </a:solidFill>
                        <a:ln w="9525">
                          <a:solidFill>
                            <a:srgbClr val="000000"/>
                          </a:solidFill>
                        </a:ln>
                      </wps:spPr>
                      <wps:txbx>
                        <w:txbxContent>
                          <w:p>
                            <w:pPr>
                              <w:pStyle w:val="CompanyName"/>
                              <w:rPr/>
                            </w:pPr>
                            <w:r>
                              <w:rPr/>
                              <w:t>Wright &amp; Talisman, P.C.</w:t>
                            </w:r>
                          </w:p>
                        </w:txbxContent>
                      </wps:txbx>
                      <wps:bodyPr anchor="t" lIns="114300" tIns="114300" rIns="114300" bIns="114300">
                        <a:noAutofit/>
                      </wps:bodyPr>
                    </wps:wsp>
                  </a:graphicData>
                </a:graphic>
              </wp:anchor>
            </w:drawing>
          </mc:Choice>
          <mc:Fallback>
            <w:pict>
              <v:rect fillcolor="#FFFFFF" strokecolor="#000000" strokeweight="0pt" style="position:absolute;rotation:-0;width:210.8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Wright &amp; Talisman, P.C.</w:t>
                      </w:r>
                    </w:p>
                  </w:txbxContent>
                </v:textbox>
                <w10:wrap type="topAndBottom"/>
              </v:rect>
            </w:pict>
          </mc:Fallback>
        </mc:AlternateContent>
      </w:r>
    </w:p>
    <w:p>
      <w:pPr>
        <w:pStyle w:val="Normal"/>
        <w:jc w:val="center"/>
        <w:rPr>
          <w:b/>
          <w:sz w:val="40"/>
        </w:rPr>
      </w:pPr>
      <w:r>
        <w:rPr>
          <w:b/>
          <w:sz w:val="40"/>
        </w:rPr>
      </w:r>
    </w:p>
    <w:p>
      <w:pPr>
        <w:pStyle w:val="Normal"/>
        <w:jc w:val="center"/>
        <w:rPr>
          <w:b/>
          <w:sz w:val="40"/>
        </w:rPr>
      </w:pPr>
      <w:r>
        <w:rPr>
          <w:b/>
          <w:sz w:val="40"/>
        </w:rPr>
        <w:t>MEMORANDUM</w:t>
      </w:r>
    </w:p>
    <w:p>
      <w:pPr>
        <w:pStyle w:val="Normal"/>
        <w:rPr>
          <w:b/>
          <w:sz w:val="40"/>
        </w:rPr>
      </w:pPr>
      <w:r>
        <w:rPr>
          <w:b/>
          <w:sz w:val="40"/>
        </w:rPr>
      </w:r>
    </w:p>
    <w:p>
      <w:pPr>
        <w:pStyle w:val="Normal"/>
        <w:rPr>
          <w:sz w:val="40"/>
        </w:rPr>
      </w:pPr>
      <w:r>
        <w:rPr>
          <w:sz w:val="40"/>
        </w:rPr>
      </w:r>
    </w:p>
    <w:p>
      <w:pPr>
        <w:pStyle w:val="Header"/>
        <w:tabs>
          <w:tab w:val="clear" w:pos="4320"/>
          <w:tab w:val="clear" w:pos="8640"/>
        </w:tabs>
        <w:rPr/>
      </w:pPr>
      <w:r>
        <w:rPr/>
        <w:t>To:</w:t>
        <w:tab/>
        <w:tab/>
        <w:t>WSPP Executive Committee Members</w:t>
      </w:r>
    </w:p>
    <w:p>
      <w:pPr>
        <w:pStyle w:val="Normal"/>
        <w:rPr/>
      </w:pPr>
      <w:r>
        <w:rPr/>
      </w:r>
    </w:p>
    <w:p>
      <w:pPr>
        <w:pStyle w:val="Normal"/>
        <w:rPr/>
      </w:pPr>
      <w:r>
        <w:rPr/>
        <w:t>From:</w:t>
        <w:tab/>
        <w:tab/>
        <w:t>Mike Small</w:t>
      </w:r>
    </w:p>
    <w:p>
      <w:pPr>
        <w:pStyle w:val="Normal"/>
        <w:rPr/>
      </w:pPr>
      <w:r>
        <w:rPr/>
        <w:tab/>
        <w:tab/>
        <w:t>Dave Berman</w:t>
      </w:r>
    </w:p>
    <w:p>
      <w:pPr>
        <w:pStyle w:val="Normal"/>
        <w:rPr/>
      </w:pPr>
      <w:r>
        <w:rPr/>
      </w:r>
    </w:p>
    <w:p>
      <w:pPr>
        <w:pStyle w:val="Normal"/>
        <w:rPr/>
      </w:pPr>
      <w:r>
        <w:rPr/>
        <w:t>Date:</w:t>
        <w:tab/>
        <w:tab/>
        <w:t>July 17, 2001</w:t>
      </w:r>
    </w:p>
    <w:p>
      <w:pPr>
        <w:pStyle w:val="Normal"/>
        <w:rPr/>
      </w:pPr>
      <w:r>
        <w:rPr/>
      </w:r>
    </w:p>
    <w:p>
      <w:pPr>
        <w:pStyle w:val="Normal"/>
        <w:rPr/>
      </w:pPr>
      <w:r>
        <w:rPr/>
        <w:t>Re:</w:t>
        <w:tab/>
        <w:tab/>
        <w:t>WSPP Export Authorization</w:t>
      </w:r>
    </w:p>
    <w:p>
      <w:pPr>
        <w:pStyle w:val="Normal"/>
        <w:pBdr>
          <w:bottom w:val="single" w:sz="12" w:space="1" w:color="000000"/>
        </w:pBdr>
        <w:rPr/>
      </w:pPr>
      <w:r>
        <w:rPr/>
      </w:r>
    </w:p>
    <w:p>
      <w:pPr>
        <w:pStyle w:val="Normal"/>
        <w:rPr/>
      </w:pPr>
      <w:r>
        <w:rPr/>
      </w:r>
    </w:p>
    <w:p>
      <w:pPr>
        <w:pStyle w:val="Normal"/>
        <w:rPr/>
      </w:pPr>
      <w:r>
        <w:rPr/>
        <w:tab/>
        <w:t xml:space="preserve">Please note that the WSPP’s U.S. Department of Energy export authorization, under which designated members of the WSPP may </w:t>
      </w:r>
      <w:r>
        <w:rPr>
          <w:lang w:eastAsia="en-US"/>
        </w:rPr>
        <w:t>enter into transactions involving the sale and exportation of electricity from the United States to Canada under the terms and conditions of WSPP Agreement, expires on September 5, 2001.  This office will be filing the renewal application.  Any members that currently are listed on the permit and wish to continue to export power under this authorization should notify us of that fact.</w:t>
      </w:r>
      <w:r>
        <w:rPr>
          <w:rStyle w:val="FootnoteCharacters"/>
          <w:rStyle w:val="FootnoteReference"/>
        </w:rPr>
        <w:footnoteReference w:id="2"/>
      </w:r>
      <w:r>
        <w:rPr>
          <w:lang w:eastAsia="en-US"/>
        </w:rPr>
        <w:t xml:space="preserve">  Each member must provide a check for $500, made out to the Treasurer of the United States, for the DOE’s filing fee.  In addition, any member listed on the export authorization that has changed its name, and wishes to review its authorization, should notify us of that fact as well.</w:t>
      </w:r>
    </w:p>
    <w:p>
      <w:pPr>
        <w:pStyle w:val="Normal"/>
        <w:rPr>
          <w:lang w:eastAsia="en-US"/>
        </w:rPr>
      </w:pPr>
      <w:r>
        <w:rPr>
          <w:lang w:eastAsia="en-US"/>
        </w:rPr>
      </w:r>
    </w:p>
    <w:p>
      <w:pPr>
        <w:pStyle w:val="Normal"/>
        <w:tabs>
          <w:tab w:val="left" w:pos="-720" w:leader="none"/>
          <w:tab w:val="left" w:pos="720" w:leader="none"/>
          <w:tab w:val="left" w:pos="1440" w:leader="none"/>
          <w:tab w:val="left" w:pos="2160" w:leader="none"/>
          <w:tab w:val="left" w:pos="2880" w:leader="none"/>
        </w:tabs>
        <w:suppressAutoHyphens w:val="true"/>
        <w:rPr/>
      </w:pPr>
      <w:r>
        <w:rPr>
          <w:lang w:eastAsia="en-US"/>
        </w:rPr>
        <w:tab/>
        <w:t xml:space="preserve">At the same time, we will file to update the export authorization </w:t>
      </w:r>
      <w:r>
        <w:rPr>
          <w:spacing w:val="-3"/>
        </w:rPr>
        <w:t>to include additional members on the export authorization.  Those WSPP members that wish to be added to export authorization need to provide the following information:</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720" w:start="720" w:end="0"/>
        <w:rPr>
          <w:spacing w:val="-3"/>
        </w:rPr>
      </w:pPr>
      <w:r>
        <w:rPr>
          <w:spacing w:val="-3"/>
        </w:rPr>
        <w:t>1.</w:t>
        <w:tab/>
        <w:t>A signed opinion of counsel that the proposed export is within the member’s corporate power, and that the member has complied with or will comply with all pertinent federal and state laws;</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720" w:start="720" w:end="0"/>
        <w:rPr>
          <w:spacing w:val="-3"/>
        </w:rPr>
      </w:pPr>
      <w:r>
        <w:rPr>
          <w:spacing w:val="-3"/>
        </w:rPr>
        <w:t>2.</w:t>
        <w:tab/>
        <w:t>Articles of Incorporation;</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720" w:start="720" w:end="0"/>
        <w:rPr>
          <w:spacing w:val="-3"/>
        </w:rPr>
      </w:pPr>
      <w:r>
        <w:rPr>
          <w:spacing w:val="-3"/>
        </w:rPr>
        <w:t>3.</w:t>
        <w:tab/>
        <w:t>Ten year load/capacity forecasts (marketers should explain that they do not have this type of information);</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720" w:start="720" w:end="0"/>
        <w:rPr>
          <w:spacing w:val="-3"/>
        </w:rPr>
      </w:pPr>
      <w:r>
        <w:rPr>
          <w:spacing w:val="-3"/>
        </w:rPr>
        <w:t>4.</w:t>
        <w:tab/>
        <w:t>If the marketer is affiliated with an electric utility, then the marketer needs to state with which electric utility it is affiliated; and</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720" w:start="720" w:end="0"/>
        <w:rPr>
          <w:spacing w:val="-3"/>
        </w:rPr>
      </w:pPr>
      <w:r>
        <w:rPr>
          <w:spacing w:val="-3"/>
        </w:rPr>
        <w:t>5.</w:t>
        <w:tab/>
        <w:t>A check for $500.00 made out to the Treasurer of the United States.</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tab/>
        <w:t xml:space="preserve">Please note that only public utilities that are subject to the Federal Energy Regulatory Commission’s jurisdiction (investor-owned utilities and power marketers) need to apply for the authorization (or continued authorization) to export.   </w:t>
      </w:r>
    </w:p>
    <w:p>
      <w:pPr>
        <w:pStyle w:val="Normal"/>
        <w:tabs>
          <w:tab w:val="left" w:pos="-720" w:leader="none"/>
          <w:tab w:val="left" w:pos="720" w:leader="none"/>
          <w:tab w:val="left" w:pos="1440" w:leader="none"/>
          <w:tab w:val="left" w:pos="2160" w:leader="none"/>
          <w:tab w:val="left" w:pos="2880" w:leader="none"/>
        </w:tabs>
        <w:suppressAutoHyphens w:val="true"/>
        <w:rPr>
          <w:spacing w:val="-3"/>
        </w:rPr>
      </w:pPr>
      <w:r>
        <w:rPr>
          <w:spacing w:val="-3"/>
        </w:rPr>
      </w:r>
    </w:p>
    <w:p>
      <w:pPr>
        <w:pStyle w:val="Normal"/>
        <w:tabs>
          <w:tab w:val="left" w:pos="-720" w:leader="none"/>
          <w:tab w:val="left" w:pos="720" w:leader="none"/>
          <w:tab w:val="left" w:pos="1440" w:leader="none"/>
          <w:tab w:val="left" w:pos="2160" w:leader="none"/>
          <w:tab w:val="left" w:pos="2880" w:leader="none"/>
        </w:tabs>
        <w:suppressAutoHyphens w:val="true"/>
        <w:rPr/>
      </w:pPr>
      <w:r>
        <w:rPr>
          <w:b/>
          <w:i/>
          <w:spacing w:val="-3"/>
        </w:rPr>
        <w:tab/>
        <w:t xml:space="preserve">In order that the DOE may have time to process the application, members who wish to continue to be listed on the export authorization or wish to be added should contact Dave Berman’s office at 202-393-1200 or </w:t>
      </w:r>
      <w:hyperlink r:id="rId2">
        <w:r>
          <w:rPr>
            <w:rStyle w:val="Hyperlink"/>
            <w:b/>
            <w:i/>
          </w:rPr>
          <w:t>berman@wrightlaw.com</w:t>
        </w:r>
      </w:hyperlink>
      <w:r>
        <w:rPr>
          <w:b/>
          <w:i/>
          <w:spacing w:val="-3"/>
        </w:rPr>
        <w:t xml:space="preserve"> by August 1, 2001.  Please direct any questions to Dave Berman as well.</w:t>
      </w:r>
    </w:p>
    <w:p>
      <w:pPr>
        <w:pStyle w:val="Normal"/>
        <w:tabs>
          <w:tab w:val="left" w:pos="-720" w:leader="none"/>
          <w:tab w:val="left" w:pos="720" w:leader="none"/>
          <w:tab w:val="left" w:pos="1440" w:leader="none"/>
          <w:tab w:val="left" w:pos="2160" w:leader="none"/>
          <w:tab w:val="left" w:pos="2880" w:leader="none"/>
        </w:tabs>
        <w:suppressAutoHyphens w:val="true"/>
        <w:rPr>
          <w:b/>
          <w:i/>
          <w:i/>
          <w:spacing w:val="-3"/>
        </w:rPr>
      </w:pPr>
      <w:r>
        <w:rPr>
          <w:b/>
          <w:i/>
          <w:spacing w:val="-3"/>
        </w:rPr>
      </w:r>
    </w:p>
    <w:p>
      <w:pPr>
        <w:pStyle w:val="Normal"/>
        <w:tabs>
          <w:tab w:val="left" w:pos="-720" w:leader="none"/>
          <w:tab w:val="left" w:pos="720" w:leader="none"/>
          <w:tab w:val="left" w:pos="1440" w:leader="none"/>
          <w:tab w:val="left" w:pos="2160" w:leader="none"/>
          <w:tab w:val="left" w:pos="2880" w:leader="none"/>
        </w:tabs>
        <w:suppressAutoHyphens w:val="true"/>
        <w:rPr>
          <w:spacing w:val="-3"/>
          <w:sz w:val="16"/>
        </w:rPr>
      </w:pPr>
      <w:r>
        <w:rPr>
          <w:spacing w:val="-3"/>
          <w:sz w:val="16"/>
        </w:rPr>
        <w:t>k:\wspp\export authorization update</w:t>
      </w:r>
    </w:p>
    <w:p>
      <w:pPr>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pStyle w:val="Normal"/>
        <w:tabs>
          <w:tab w:val="left" w:pos="-720" w:leader="none"/>
          <w:tab w:val="left" w:pos="720" w:leader="none"/>
          <w:tab w:val="left" w:pos="1440" w:leader="none"/>
          <w:tab w:val="left" w:pos="2160" w:leader="none"/>
          <w:tab w:val="left" w:pos="2880" w:leader="none"/>
        </w:tabs>
        <w:suppressAutoHyphens w:val="true"/>
        <w:rPr>
          <w:spacing w:val="-3"/>
          <w:sz w:val="20"/>
        </w:rPr>
      </w:pPr>
      <w:r>
        <w:rPr>
          <w:spacing w:val="-3"/>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jc w:val="center"/>
        <w:rPr>
          <w:b/>
          <w:sz w:val="23"/>
          <w:u w:val="single"/>
        </w:rPr>
      </w:pPr>
      <w:r>
        <w:rPr>
          <w:b/>
          <w:u w:val="single"/>
        </w:rPr>
        <w:t>WSPP members currently on the export authorization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b/>
          <w:sz w:val="23"/>
          <w:u w:val="single"/>
        </w:rPr>
      </w:pPr>
      <w:r>
        <w:rPr>
          <w:b/>
          <w:sz w:val="23"/>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3"/>
        </w:rPr>
      </w:pPr>
      <w:r>
        <w:rPr>
          <w:sz w:val="23"/>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3"/>
        </w:rPr>
      </w:pPr>
      <w:r>
        <w:rPr>
          <w:sz w:val="23"/>
        </w:rPr>
        <w:t>Arizona Public Service Company</w:t>
        <w:tab/>
        <w:tab/>
        <w:t>MIECO,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3"/>
        </w:rPr>
      </w:pPr>
      <w:r>
        <w:rPr>
          <w:sz w:val="23"/>
        </w:rPr>
        <w:t>Aquila Power Corporation</w:t>
        <w:tab/>
        <w:tab/>
        <w:tab/>
        <w:t>Montana Power Company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3"/>
        </w:rPr>
      </w:pPr>
      <w:r>
        <w:rPr>
          <w:sz w:val="23"/>
        </w:rPr>
        <w:t>Avista Energy, Inc.</w:t>
        <w:tab/>
        <w:tab/>
        <w:tab/>
        <w:tab/>
        <w:t>PP&amp;L, Inc.</w:t>
      </w:r>
    </w:p>
    <w:p>
      <w:pPr>
        <w:pStyle w:val="Normal"/>
        <w:rPr>
          <w:sz w:val="23"/>
        </w:rPr>
      </w:pPr>
      <w:r>
        <w:rPr>
          <w:sz w:val="23"/>
        </w:rPr>
        <w:t>British Columbia Power Exchange Corp.</w:t>
        <w:tab/>
        <w:t>Pacific Gas &amp; Electric Company</w:t>
      </w:r>
    </w:p>
    <w:p>
      <w:pPr>
        <w:pStyle w:val="Normal"/>
        <w:rPr>
          <w:sz w:val="23"/>
        </w:rPr>
      </w:pPr>
      <w:r>
        <w:rPr>
          <w:sz w:val="23"/>
        </w:rPr>
        <w:t>Candela Energy Corporation</w:t>
        <w:tab/>
        <w:tab/>
        <w:tab/>
        <w:t>Pacific Northwest Generating Cooperative</w:t>
      </w:r>
    </w:p>
    <w:p>
      <w:pPr>
        <w:pStyle w:val="Normal"/>
        <w:rPr>
          <w:sz w:val="23"/>
        </w:rPr>
      </w:pPr>
      <w:r>
        <w:rPr>
          <w:sz w:val="23"/>
        </w:rPr>
        <w:t>Central Louisiana Electric Company</w:t>
        <w:tab/>
        <w:tab/>
        <w:t>PacifiCorp</w:t>
      </w:r>
    </w:p>
    <w:p>
      <w:pPr>
        <w:pStyle w:val="Normal"/>
        <w:rPr>
          <w:sz w:val="23"/>
        </w:rPr>
      </w:pPr>
      <w:r>
        <w:rPr>
          <w:sz w:val="23"/>
        </w:rPr>
        <w:t>Citizens Power Sales</w:t>
        <w:tab/>
        <w:tab/>
        <w:tab/>
        <w:tab/>
        <w:t>PanCanadian Energy Services, Inc</w:t>
      </w:r>
    </w:p>
    <w:p>
      <w:pPr>
        <w:pStyle w:val="Normal"/>
        <w:rPr>
          <w:sz w:val="23"/>
        </w:rPr>
      </w:pPr>
      <w:r>
        <w:rPr>
          <w:sz w:val="23"/>
        </w:rPr>
        <w:t>CNG Power Service Corporation</w:t>
        <w:tab/>
        <w:t>.</w:t>
        <w:tab/>
        <w:t>PECO Energy Company</w:t>
      </w:r>
    </w:p>
    <w:p>
      <w:pPr>
        <w:pStyle w:val="Normal"/>
        <w:rPr>
          <w:sz w:val="23"/>
        </w:rPr>
      </w:pPr>
      <w:r>
        <w:rPr>
          <w:sz w:val="23"/>
        </w:rPr>
        <w:t>Destec Power Services, Inc</w:t>
        <w:tab/>
        <w:tab/>
        <w:tab/>
        <w:t>Philbro Inc.</w:t>
      </w:r>
    </w:p>
    <w:p>
      <w:pPr>
        <w:pStyle w:val="Normal"/>
        <w:rPr>
          <w:sz w:val="23"/>
        </w:rPr>
      </w:pPr>
      <w:r>
        <w:rPr>
          <w:sz w:val="23"/>
        </w:rPr>
        <w:t>El Paso Electric Company</w:t>
        <w:tab/>
        <w:tab/>
        <w:tab/>
        <w:t>Public Service Company of New Mexico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760" w:start="5760" w:end="0"/>
        <w:rPr>
          <w:sz w:val="23"/>
        </w:rPr>
      </w:pPr>
      <w:r>
        <w:rPr>
          <w:sz w:val="23"/>
        </w:rPr>
        <w:t>Electric Clearinghouse, Inc.</w:t>
        <w:tab/>
        <w:tab/>
        <w:tab/>
        <w:t>Puget Sound Energy, Inc.</w:t>
      </w:r>
    </w:p>
    <w:p>
      <w:pPr>
        <w:pStyle w:val="Normal"/>
        <w:rPr>
          <w:sz w:val="23"/>
        </w:rPr>
      </w:pPr>
      <w:r>
        <w:rPr>
          <w:sz w:val="23"/>
        </w:rPr>
        <w:t>Engage Energy US, L.P.</w:t>
        <w:tab/>
        <w:tab/>
        <w:tab/>
        <w:t>Sierra Pacific Power Company</w:t>
      </w:r>
    </w:p>
    <w:p>
      <w:pPr>
        <w:pStyle w:val="Normal"/>
        <w:rPr>
          <w:sz w:val="23"/>
        </w:rPr>
      </w:pPr>
      <w:r>
        <w:rPr>
          <w:sz w:val="23"/>
        </w:rPr>
        <w:t>Englehard Power Marketing, Inc.</w:t>
        <w:tab/>
        <w:tab/>
        <w:t>Southern California Edison Company</w:t>
      </w:r>
    </w:p>
    <w:p>
      <w:pPr>
        <w:pStyle w:val="Normal"/>
        <w:rPr>
          <w:sz w:val="23"/>
        </w:rPr>
      </w:pPr>
      <w:r>
        <w:rPr>
          <w:sz w:val="23"/>
        </w:rPr>
        <w:t>Enron Power Marketing</w:t>
        <w:tab/>
        <w:tab/>
        <w:tab/>
        <w:t>Southern Energy Marketing, Inc.</w:t>
      </w:r>
    </w:p>
    <w:p>
      <w:pPr>
        <w:pStyle w:val="Normal"/>
        <w:rPr>
          <w:sz w:val="23"/>
        </w:rPr>
      </w:pPr>
      <w:r>
        <w:rPr>
          <w:sz w:val="23"/>
        </w:rPr>
        <w:t>Entergy Power, Inc.</w:t>
        <w:tab/>
        <w:tab/>
        <w:tab/>
        <w:tab/>
        <w:t>TransAlta Energy Marketing (U. S.), Inc.</w:t>
      </w:r>
    </w:p>
    <w:p>
      <w:pPr>
        <w:pStyle w:val="Normal"/>
        <w:rPr>
          <w:sz w:val="23"/>
        </w:rPr>
      </w:pPr>
      <w:r>
        <w:rPr>
          <w:sz w:val="23"/>
        </w:rPr>
        <w:t>Equitable Power Services Company</w:t>
        <w:tab/>
        <w:tab/>
        <w:t>TransCanada Energy Ltd.</w:t>
      </w:r>
    </w:p>
    <w:p>
      <w:pPr>
        <w:pStyle w:val="Normal"/>
        <w:rPr>
          <w:sz w:val="23"/>
        </w:rPr>
      </w:pPr>
      <w:r>
        <w:rPr>
          <w:sz w:val="23"/>
        </w:rPr>
        <w:t>Heartland Energy Services</w:t>
        <w:tab/>
        <w:tab/>
        <w:tab/>
        <w:t>Tenneco Energy Marketing Company</w:t>
      </w:r>
    </w:p>
    <w:p>
      <w:pPr>
        <w:pStyle w:val="Normal"/>
        <w:rPr>
          <w:sz w:val="23"/>
        </w:rPr>
      </w:pPr>
      <w:r>
        <w:rPr>
          <w:sz w:val="23"/>
        </w:rPr>
        <w:t>Idaho Power Company</w:t>
        <w:tab/>
        <w:tab/>
        <w:tab/>
        <w:tab/>
        <w:t>Tucson Electric Power Company</w:t>
      </w:r>
    </w:p>
    <w:p>
      <w:pPr>
        <w:pStyle w:val="Normal"/>
        <w:rPr>
          <w:sz w:val="23"/>
        </w:rPr>
      </w:pPr>
      <w:r>
        <w:rPr>
          <w:sz w:val="23"/>
        </w:rPr>
        <w:t>Illinova Energy Partners, Inc.</w:t>
        <w:tab/>
        <w:tab/>
        <w:tab/>
        <w:t>UtiliCorp United, Inc.</w:t>
      </w:r>
    </w:p>
    <w:p>
      <w:pPr>
        <w:pStyle w:val="Normal"/>
        <w:rPr>
          <w:sz w:val="23"/>
        </w:rPr>
      </w:pPr>
      <w:r>
        <w:rPr>
          <w:sz w:val="23"/>
        </w:rPr>
        <w:t>Intercoast Power Marketing Company</w:t>
        <w:tab/>
        <w:tab/>
        <w:t>Valero Power Services Company</w:t>
      </w:r>
    </w:p>
    <w:p>
      <w:pPr>
        <w:pStyle w:val="Normal"/>
        <w:rPr>
          <w:sz w:val="23"/>
        </w:rPr>
      </w:pPr>
      <w:r>
        <w:rPr>
          <w:sz w:val="23"/>
        </w:rPr>
        <w:t>Kansas City Power &amp; Light</w:t>
        <w:tab/>
        <w:tab/>
        <w:tab/>
        <w:t>Washington Water Power Company</w:t>
      </w:r>
    </w:p>
    <w:p>
      <w:pPr>
        <w:pStyle w:val="Normal"/>
        <w:rPr>
          <w:sz w:val="23"/>
        </w:rPr>
      </w:pPr>
      <w:r>
        <w:rPr>
          <w:sz w:val="23"/>
        </w:rPr>
        <w:t>K N Marketing Inc.</w:t>
        <w:tab/>
        <w:tab/>
        <w:tab/>
        <w:tab/>
        <w:t>Western Power Services, Inc.</w:t>
      </w:r>
    </w:p>
    <w:p>
      <w:pPr>
        <w:pStyle w:val="Normal"/>
        <w:rPr>
          <w:sz w:val="23"/>
        </w:rPr>
      </w:pPr>
      <w:r>
        <w:rPr>
          <w:sz w:val="23"/>
        </w:rPr>
        <w:t>Koch Energy Trading, Inc.</w:t>
        <w:tab/>
        <w:tab/>
        <w:tab/>
        <w:t>Western Resources, Inc.</w:t>
      </w:r>
    </w:p>
    <w:p>
      <w:pPr>
        <w:pStyle w:val="Normal"/>
        <w:rPr>
          <w:sz w:val="23"/>
        </w:rPr>
      </w:pPr>
      <w:r>
        <w:rPr>
          <w:sz w:val="23"/>
        </w:rPr>
        <w:t>LG&amp;E Power Marketing Inc.</w:t>
        <w:tab/>
        <w:tab/>
        <w:tab/>
        <w:t>Williams Energy Services Company</w:t>
      </w:r>
    </w:p>
    <w:p>
      <w:pPr>
        <w:pStyle w:val="Normal"/>
        <w:rPr>
          <w:sz w:val="23"/>
        </w:rPr>
      </w:pPr>
      <w:r>
        <w:rPr>
          <w:sz w:val="23"/>
        </w:rPr>
        <w:t>Louis Dreyfus Electric Power, Inc.</w:t>
        <w:tab/>
      </w:r>
    </w:p>
    <w:p>
      <w:pPr>
        <w:pStyle w:val="Normal"/>
        <w:rPr>
          <w:sz w:val="23"/>
        </w:rPr>
      </w:pPr>
      <w:r>
        <w:rPr>
          <w:sz w:val="23"/>
        </w:rPr>
      </w:r>
    </w:p>
    <w:p>
      <w:pPr>
        <w:pStyle w:val="Normal"/>
        <w:tabs>
          <w:tab w:val="left" w:pos="-720" w:leader="none"/>
          <w:tab w:val="left" w:pos="720" w:leader="none"/>
          <w:tab w:val="left" w:pos="1440" w:leader="none"/>
          <w:tab w:val="left" w:pos="2160" w:leader="none"/>
          <w:tab w:val="left" w:pos="2880" w:leader="none"/>
        </w:tabs>
        <w:suppressAutoHyphens w:val="true"/>
        <w:rPr>
          <w:spacing w:val="-3"/>
          <w:sz w:val="23"/>
        </w:rPr>
      </w:pPr>
      <w:r>
        <w:rPr>
          <w:spacing w:val="-3"/>
          <w:sz w:val="23"/>
        </w:rPr>
      </w:r>
    </w:p>
    <w:sectPr>
      <w:footerReference w:type="default" r:id="rId5"/>
      <w:footerReference w:type="first" r:id="rId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4414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44145"/>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441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1.3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ab/>
        <w:t xml:space="preserve">A list of the WSPP members currently on the export authorization is attached.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2160" w:leader="none"/>
        <w:tab w:val="left" w:pos="2880" w:leader="none"/>
      </w:tabs>
      <w:bidi w:val="0"/>
      <w:jc w:val="both"/>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lear" w:pos="1440"/>
        <w:tab w:val="clear" w:pos="2160"/>
        <w:tab w:val="clear" w:pos="2880"/>
        <w:tab w:val="center" w:pos="4986" w:leader="none"/>
        <w:tab w:val="right" w:pos="9972" w:leader="none"/>
      </w:tabs>
    </w:pPr>
    <w:rPr/>
  </w:style>
  <w:style w:type="paragraph" w:styleId="Header">
    <w:name w:val="header"/>
    <w:basedOn w:val="Normal"/>
    <w:pPr>
      <w:tabs>
        <w:tab w:val="clear" w:pos="720"/>
        <w:tab w:val="clear" w:pos="1440"/>
        <w:tab w:val="clear" w:pos="2160"/>
        <w:tab w:val="clear" w:pos="2880"/>
        <w:tab w:val="center" w:pos="4320" w:leader="none"/>
        <w:tab w:val="right" w:pos="8640" w:leader="none"/>
      </w:tabs>
    </w:pPr>
    <w:rPr/>
  </w:style>
  <w:style w:type="paragraph" w:styleId="Footer">
    <w:name w:val="footer"/>
    <w:basedOn w:val="Normal"/>
    <w:pPr>
      <w:widowControl w:val="false"/>
      <w:tabs>
        <w:tab w:val="clear" w:pos="720"/>
        <w:tab w:val="clear" w:pos="1440"/>
        <w:tab w:val="clear" w:pos="2160"/>
        <w:tab w:val="clear" w:pos="2880"/>
        <w:tab w:val="center" w:pos="4320" w:leader="none"/>
        <w:tab w:val="right" w:pos="8640" w:leader="none"/>
      </w:tabs>
      <w:jc w:val="start"/>
    </w:pPr>
    <w:rPr>
      <w:rFonts w:ascii="Courier" w:hAnsi="Courier" w:cs="Courier"/>
      <w:sz w:val="20"/>
      <w:lang w:eastAsia="en-US"/>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tabs>
        <w:tab w:val="clear" w:pos="720"/>
        <w:tab w:val="clear" w:pos="1440"/>
        <w:tab w:val="clear" w:pos="2160"/>
        <w:tab w:val="clear" w:pos="2880"/>
      </w:tabs>
      <w:spacing w:lineRule="exact" w:line="320"/>
      <w:jc w:val="start"/>
    </w:pPr>
    <w:rPr>
      <w:rFonts w:ascii="Arial Black" w:hAnsi="Arial Black" w:cs="Arial Black"/>
      <w:spacing w:val="-15"/>
      <w:position w:val="-2"/>
      <w:sz w:val="3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rman@wrightlaw.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2001-07-16T15:54:00Z</dcterms:created>
  <dc:creator>David Berman</dc:creator>
  <dc:description/>
  <dc:language>en-CA</dc:language>
  <cp:lastModifiedBy>Stephanie Stevenson</cp:lastModifiedBy>
  <cp:lastPrinted>2001-07-16T16:11:00Z</cp:lastPrinted>
  <dcterms:modified xsi:type="dcterms:W3CDTF">2001-07-16T17:41:00Z</dcterms:modified>
  <cp:revision>11</cp:revision>
  <dc:subject/>
  <dc:title/>
</cp:coreProperties>
</file>