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 xml:space="preserve">IMPACT ON ENERGY PROPERTY OF SECTION 101 OF THE ECONOMIC SECURITY AND RECOVERY ACT OF 2001 </w:t>
      </w:r>
    </w:p>
    <w:p>
      <w:pPr>
        <w:pStyle w:val="Normal"/>
        <w:jc w:val="center"/>
        <w:rPr/>
      </w:pPr>
      <w:r>
        <w:rPr/>
      </w:r>
    </w:p>
    <w:p>
      <w:pPr>
        <w:pStyle w:val="Normal"/>
        <w:jc w:val="both"/>
        <w:rPr/>
      </w:pPr>
      <w:r>
        <w:rPr/>
        <w:t>Section 101 of the “Economic Security and Recovery Act of 2001 (“Act”) allows a taxpayer to deduct 30 percent of the basis of “qualified property” in the year the property is placed in service.  Cost recovery of the remaining 70 percent is allowed under normal depreciation rules.</w:t>
      </w:r>
    </w:p>
    <w:p>
      <w:pPr>
        <w:pStyle w:val="Normal"/>
        <w:jc w:val="both"/>
        <w:rPr/>
      </w:pPr>
      <w:r>
        <w:rPr/>
      </w:r>
    </w:p>
    <w:p>
      <w:pPr>
        <w:pStyle w:val="Normal"/>
        <w:jc w:val="both"/>
        <w:rPr>
          <w:b/>
        </w:rPr>
      </w:pPr>
      <w:r>
        <w:rPr>
          <w:b/>
        </w:rPr>
        <w:t>Qualified Property</w:t>
      </w:r>
    </w:p>
    <w:p>
      <w:pPr>
        <w:pStyle w:val="Normal"/>
        <w:jc w:val="both"/>
        <w:rPr/>
      </w:pPr>
      <w:r>
        <w:rPr/>
      </w:r>
    </w:p>
    <w:p>
      <w:pPr>
        <w:pStyle w:val="Normal"/>
        <w:jc w:val="both"/>
        <w:rPr/>
      </w:pPr>
      <w:r>
        <w:rPr/>
        <w:t>1.</w:t>
        <w:tab/>
        <w:t>Property must have a recovery period of 20 years or less or be computer software.</w:t>
      </w:r>
    </w:p>
    <w:p>
      <w:pPr>
        <w:pStyle w:val="Normal"/>
        <w:jc w:val="both"/>
        <w:rPr/>
      </w:pPr>
      <w:r>
        <w:rPr/>
      </w:r>
    </w:p>
    <w:p>
      <w:pPr>
        <w:pStyle w:val="Normal"/>
        <w:numPr>
          <w:ilvl w:val="0"/>
          <w:numId w:val="5"/>
        </w:numPr>
        <w:tabs>
          <w:tab w:val="clear" w:pos="720"/>
          <w:tab w:val="left" w:pos="1080" w:leader="none"/>
        </w:tabs>
        <w:ind w:hanging="360" w:start="1080" w:end="0"/>
        <w:jc w:val="both"/>
        <w:rPr/>
      </w:pPr>
      <w:r>
        <w:rPr/>
        <w:t>A great deal of property owned by energy companies would meet this test.</w:t>
      </w:r>
    </w:p>
    <w:p>
      <w:pPr>
        <w:pStyle w:val="Normal"/>
        <w:jc w:val="both"/>
        <w:rPr/>
      </w:pPr>
      <w:r>
        <w:rPr/>
      </w:r>
    </w:p>
    <w:p>
      <w:pPr>
        <w:pStyle w:val="Normal"/>
        <w:ind w:hanging="720" w:start="720" w:end="0"/>
        <w:jc w:val="both"/>
        <w:rPr/>
      </w:pPr>
      <w:r>
        <w:rPr/>
        <w:t>2.</w:t>
        <w:tab/>
        <w:t>Property must be placed in service after September 10, 2001, and before December 31, 2004, pursuant to a binding written contract entered into after September 10, 2001, and before September 11, 2004.</w:t>
      </w:r>
    </w:p>
    <w:p>
      <w:pPr>
        <w:pStyle w:val="Normal"/>
        <w:jc w:val="both"/>
        <w:rPr/>
      </w:pPr>
      <w:r>
        <w:rPr/>
      </w:r>
    </w:p>
    <w:p>
      <w:pPr>
        <w:pStyle w:val="Normal"/>
        <w:numPr>
          <w:ilvl w:val="0"/>
          <w:numId w:val="3"/>
        </w:numPr>
        <w:tabs>
          <w:tab w:val="clear" w:pos="720"/>
          <w:tab w:val="left" w:pos="1080" w:leader="none"/>
        </w:tabs>
        <w:ind w:hanging="360" w:start="1080" w:end="0"/>
        <w:jc w:val="both"/>
        <w:rPr/>
      </w:pPr>
      <w:r>
        <w:rPr/>
        <w:t>Some property could qualify.  For example, some gas turbine electric generating facilities and new transmission and distribution facilities could be constructed within the appropriate timeframe.</w:t>
      </w:r>
    </w:p>
    <w:p>
      <w:pPr>
        <w:pStyle w:val="Normal"/>
        <w:jc w:val="both"/>
        <w:rPr/>
      </w:pPr>
      <w:r>
        <w:rPr/>
      </w:r>
    </w:p>
    <w:p>
      <w:pPr>
        <w:pStyle w:val="Normal"/>
        <w:numPr>
          <w:ilvl w:val="0"/>
          <w:numId w:val="6"/>
        </w:numPr>
        <w:tabs>
          <w:tab w:val="clear" w:pos="720"/>
          <w:tab w:val="left" w:pos="1080" w:leader="none"/>
        </w:tabs>
        <w:ind w:hanging="360" w:start="1080" w:end="0"/>
        <w:jc w:val="both"/>
        <w:rPr/>
      </w:pPr>
      <w:r>
        <w:rPr/>
        <w:t>However, many projects have long construction periods.  These types of projects might not be able to be placed in service prior to December 31, 2004.</w:t>
      </w:r>
    </w:p>
    <w:p>
      <w:pPr>
        <w:pStyle w:val="Normal"/>
        <w:jc w:val="both"/>
        <w:rPr/>
      </w:pPr>
      <w:r>
        <w:rPr/>
      </w:r>
    </w:p>
    <w:p>
      <w:pPr>
        <w:pStyle w:val="Normal"/>
        <w:tabs>
          <w:tab w:val="left" w:pos="720" w:leader="none"/>
          <w:tab w:val="left" w:pos="1080" w:leader="none"/>
        </w:tabs>
        <w:ind w:hanging="1800" w:start="1440" w:end="0"/>
        <w:jc w:val="both"/>
        <w:rPr/>
      </w:pPr>
      <w:r>
        <w:rPr/>
        <w:tab/>
        <w:tab/>
        <w:t>--</w:t>
        <w:tab/>
        <w:t>Large construction projects require the hiring of large numbers of workers and would provide a great deal of economic stimulus.</w:t>
      </w:r>
    </w:p>
    <w:p>
      <w:pPr>
        <w:pStyle w:val="Normal"/>
        <w:tabs>
          <w:tab w:val="left" w:pos="720" w:leader="none"/>
          <w:tab w:val="left" w:pos="1440" w:leader="none"/>
        </w:tabs>
        <w:ind w:hanging="2160" w:start="2160" w:end="0"/>
        <w:jc w:val="both"/>
        <w:rPr/>
      </w:pPr>
      <w:r>
        <w:rPr/>
      </w:r>
    </w:p>
    <w:p>
      <w:pPr>
        <w:pStyle w:val="Normal"/>
        <w:tabs>
          <w:tab w:val="left" w:pos="720" w:leader="none"/>
          <w:tab w:val="left" w:pos="1080" w:leader="none"/>
        </w:tabs>
        <w:ind w:hanging="1440" w:start="1440" w:end="0"/>
        <w:jc w:val="both"/>
        <w:rPr/>
      </w:pPr>
      <w:r>
        <w:rPr/>
        <w:tab/>
        <w:tab/>
        <w:t>--</w:t>
        <w:tab/>
        <w:t>EEI recommends that projects with estimated production periods (as defined in Code section 263A(f)(4)(B)) in excess of two years be allowed an extended period to be placed in service so long as production of the property has begun by December 31, 2004, and the other requirements of section 101 of the Act have been met.  This assures that economic stimulus begins within the specified period.</w:t>
      </w:r>
    </w:p>
    <w:p>
      <w:pPr>
        <w:pStyle w:val="Normal"/>
        <w:tabs>
          <w:tab w:val="left" w:pos="720" w:leader="none"/>
          <w:tab w:val="left" w:pos="1440" w:leader="none"/>
        </w:tabs>
        <w:ind w:hanging="2160" w:start="2160" w:end="0"/>
        <w:jc w:val="both"/>
        <w:rPr/>
      </w:pPr>
      <w:r>
        <w:rPr/>
      </w:r>
    </w:p>
    <w:p>
      <w:pPr>
        <w:pStyle w:val="Normal"/>
        <w:tabs>
          <w:tab w:val="left" w:pos="720" w:leader="none"/>
          <w:tab w:val="left" w:pos="1440" w:leader="none"/>
        </w:tabs>
        <w:ind w:hanging="2160" w:start="2160" w:end="0"/>
        <w:jc w:val="both"/>
        <w:rPr/>
      </w:pPr>
      <w:r>
        <w:rPr/>
        <w:t>3.</w:t>
        <w:tab/>
        <w:t>Property cannot be repaired or reconstructed property.</w:t>
      </w:r>
    </w:p>
    <w:p>
      <w:pPr>
        <w:pStyle w:val="Normal"/>
        <w:tabs>
          <w:tab w:val="left" w:pos="720" w:leader="none"/>
          <w:tab w:val="left" w:pos="1440" w:leader="none"/>
        </w:tabs>
        <w:jc w:val="both"/>
        <w:rPr/>
      </w:pPr>
      <w:r>
        <w:rPr/>
      </w:r>
    </w:p>
    <w:p>
      <w:pPr>
        <w:pStyle w:val="Normal"/>
        <w:numPr>
          <w:ilvl w:val="0"/>
          <w:numId w:val="2"/>
        </w:numPr>
        <w:tabs>
          <w:tab w:val="left" w:pos="720" w:leader="none"/>
          <w:tab w:val="left" w:pos="1080" w:leader="none"/>
          <w:tab w:val="left" w:pos="1440" w:leader="none"/>
        </w:tabs>
        <w:ind w:hanging="360" w:start="1080" w:end="0"/>
        <w:jc w:val="both"/>
        <w:rPr/>
      </w:pPr>
      <w:r>
        <w:rPr/>
        <w:t>EEI recommends that this limitation be modified.  As written, section 101 only provides a stimulus to the construction or acquisition of new property, not the acquisition of existing property.  EEI agrees that taxpayers should not be able to circumvent this limitation by repairing or reconstructing existing property and calling it new.  However, this limitation should not apply to new construction by a taxpayer, just because the construction improves existing property of a taxpayer.</w:t>
      </w:r>
    </w:p>
    <w:p>
      <w:pPr>
        <w:pStyle w:val="Normal"/>
        <w:tabs>
          <w:tab w:val="left" w:pos="720" w:leader="none"/>
          <w:tab w:val="left" w:pos="1440" w:leader="none"/>
        </w:tabs>
        <w:jc w:val="both"/>
        <w:rPr/>
      </w:pPr>
      <w:r>
        <w:rPr/>
      </w:r>
    </w:p>
    <w:p>
      <w:pPr>
        <w:pStyle w:val="Normal"/>
        <w:numPr>
          <w:ilvl w:val="0"/>
          <w:numId w:val="4"/>
        </w:numPr>
        <w:tabs>
          <w:tab w:val="left" w:pos="720" w:leader="none"/>
          <w:tab w:val="left" w:pos="1080" w:leader="none"/>
          <w:tab w:val="left" w:pos="1440" w:leader="none"/>
        </w:tabs>
        <w:ind w:hanging="360" w:start="1080" w:end="0"/>
        <w:jc w:val="both"/>
        <w:rPr/>
      </w:pPr>
      <w:r>
        <w:rPr/>
        <w:t>During economic downturns, needed capitalized repairs and reconstruction of facilities are postponed to save money.  This results in employees being laid off and increases in the unemployment rate.  It also weakens the long-term competitive position of the companies making these decisions.  Incentives should apply to all new construction, whether it relates to new facilities or existing ones.</w:t>
      </w:r>
    </w:p>
    <w:sectPr>
      <w:headerReference w:type="default" r:id="rId2"/>
      <w:footerReference w:type="default" r:id="rId3"/>
      <w:type w:val="nextPage"/>
      <w:pgSz w:w="12240" w:h="15840"/>
      <w:pgMar w:left="1440" w:right="1440" w:gutter="0" w:header="72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60"/>
      <w:rPr/>
    </w:pPr>
    <w:r>
      <w:rPr/>
      <w:tab/>
    </w:r>
    <w:r>
      <w:rPr>
        <w:lang w:val="en-CA" w:eastAsia="en-CA"/>
      </w:rPr>
      <w:fldChar w:fldCharType="begin"/>
    </w:r>
    <w:r>
      <w:rPr>
        <w:lang w:val="en-CA" w:eastAsia="en-CA"/>
      </w:rPr>
      <w:instrText xml:space="preserve"> IF  "" ""</w:instrText>
    </w:r>
    <w:r>
      <w:rPr>
        <w:lang w:val="en-CA" w:eastAsia="en-CA"/>
      </w:rPr>
      <w:fldChar w:fldCharType="separate"/>
    </w:r>
    <w:r>
      <w:rPr>
        <w:lang w:val="en-CA" w:eastAsia="en-CA"/>
      </w:rPr>
    </w:r>
    <w:r>
      <w:rPr>
        <w:lang w:val="en-CA" w:eastAsia="en-CA"/>
      </w:rPr>
      <w:fldChar w:fldCharType="end"/>
    </w:r>
    <w:r>
      <w:rPr/>
      <w:tab/>
    </w:r>
    <w:r>
      <w:rPr>
        <w:rStyle w:val="DocID"/>
      </w:rPr>
      <w:fldChar w:fldCharType="begin"/>
    </w:r>
    <w:r>
      <w:rPr>
        <w:rStyle w:val="DocID"/>
      </w:rPr>
      <w:instrText xml:space="preserve"> DOCPROPERTY "DOCID"</w:instrText>
    </w:r>
    <w:r>
      <w:rPr>
        <w:rStyle w:val="DocID"/>
      </w:rPr>
      <w:fldChar w:fldCharType="separate"/>
    </w:r>
    <w:r>
      <w:rPr>
        <w:rStyle w:val="DocID"/>
      </w:rPr>
      <w:t>A:\memorandum describing proposal.doc</w:t>
    </w:r>
    <w:r>
      <w:rPr>
        <w:rStyle w:val="DocID"/>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kern w:val="2"/>
      <w:u w:val="single"/>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Indent"/>
    <w:next w:val="NormalIndent"/>
    <w:qFormat/>
    <w:pPr>
      <w:keepNext w:val="true"/>
      <w:numPr>
        <w:ilvl w:val="2"/>
        <w:numId w:val="1"/>
      </w:numPr>
      <w:spacing w:before="0" w:after="240"/>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color w:val="000000"/>
      <w:sz w:val="16"/>
    </w:rPr>
  </w:style>
  <w:style w:type="paragraph" w:styleId="Heading">
    <w:name w:val="Heading"/>
    <w:basedOn w:val="Normal"/>
    <w:next w:val="BodyText"/>
    <w:qFormat/>
    <w:pPr>
      <w:keepNext w:val="true"/>
      <w:spacing w:lineRule="auto" w:line="240" w:before="0" w:after="480"/>
      <w:jc w:val="center"/>
      <w:outlineLvl w:val="0"/>
    </w:pPr>
    <w:rPr>
      <w:b/>
    </w:rPr>
  </w:style>
  <w:style w:type="paragraph" w:styleId="BodyText">
    <w:name w:val="Body Text"/>
    <w:basedOn w:val="Normal"/>
    <w:pPr>
      <w:spacing w:lineRule="auto" w:line="240"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spacing w:lineRule="atLeast" w:line="240"/>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ListBullet">
    <w:name w:val="List Bullet"/>
    <w:basedOn w:val="Normal"/>
    <w:qFormat/>
    <w:pPr>
      <w:numPr>
        <w:ilvl w:val="0"/>
        <w:numId w:val="7"/>
      </w:numPr>
    </w:pPr>
    <w:rPr/>
  </w:style>
  <w:style w:type="paragraph" w:styleId="BlockText">
    <w:name w:val="Block Text"/>
    <w:basedOn w:val="Normal"/>
    <w:qFormat/>
    <w:pPr>
      <w:spacing w:lineRule="atLeast" w:line="240" w:before="0" w:after="240"/>
      <w:ind w:hanging="0" w:start="1440" w:end="1440"/>
    </w:pPr>
    <w:rPr>
      <w:sz w:val="24"/>
    </w:rPr>
  </w:style>
  <w:style w:type="paragraph" w:styleId="BodyTextFirstIndent">
    <w:name w:val="Body Text First Indent"/>
    <w:basedOn w:val="BodyText"/>
    <w:qFormat/>
    <w:pPr>
      <w:ind w:firstLine="1440" w:start="0" w:end="0"/>
    </w:pPr>
    <w:rPr/>
  </w:style>
  <w:style w:type="paragraph" w:styleId="BodyTextIndent">
    <w:name w:val="Body Text Indent"/>
    <w:basedOn w:val="BodyText"/>
    <w:pPr>
      <w:ind w:hanging="0" w:start="1440" w:end="0"/>
    </w:pPr>
    <w:rPr/>
  </w:style>
  <w:style w:type="paragraph" w:styleId="BodyText2">
    <w:name w:val="Body Text 2"/>
    <w:basedOn w:val="Normal"/>
    <w:qFormat/>
    <w:pPr>
      <w:spacing w:lineRule="auto" w:line="480"/>
    </w:pPr>
    <w:rPr/>
  </w:style>
  <w:style w:type="paragraph" w:styleId="BodyTextFirstIndent2">
    <w:name w:val="Body Text First Indent 2"/>
    <w:basedOn w:val="BodyText2"/>
    <w:qFormat/>
    <w:pPr>
      <w:ind w:firstLine="1440" w:start="0" w:end="0"/>
    </w:pPr>
    <w:rPr/>
  </w:style>
  <w:style w:type="paragraph" w:styleId="BodyTextIndent2">
    <w:name w:val="Body Text Indent 2"/>
    <w:basedOn w:val="BodyText2"/>
    <w:qFormat/>
    <w:pPr>
      <w:ind w:hanging="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2001-10-26T14:48:00Z</dcterms:created>
  <dc:creator> </dc:creator>
  <dc:description/>
  <dc:language>en-CA</dc:language>
  <cp:lastModifiedBy>Charlie Ewing</cp:lastModifiedBy>
  <cp:lastPrinted>2001-10-29T17:16:00Z</cp:lastPrinted>
  <dcterms:modified xsi:type="dcterms:W3CDTF">2001-10-29T19:47:00Z</dcterms:modified>
  <cp:revision>3</cp:revision>
  <dc:subject/>
  <dc:title>TRP Blank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 </vt:lpwstr>
  </property>
  <property fmtid="{D5CDD505-2E9C-101B-9397-08002B2CF9AE}" pid="3" name="DOCID">
    <vt:lpwstr>A:\memorandum describing proposal.doc</vt:lpwstr>
  </property>
</Properties>
</file>