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00" w:after="0"/>
        <w:ind w:hanging="1440" w:start="1440" w:end="0"/>
        <w:rPr/>
      </w:pPr>
      <w:r>
        <w:rPr>
          <w:b/>
          <w:sz w:val="22"/>
        </w:rPr>
        <w:t>TO:</w:t>
        <w:tab/>
      </w:r>
      <w:r>
        <w:rPr>
          <w:sz w:val="22"/>
        </w:rPr>
        <w:t>GISB Board of Directors</w:t>
      </w:r>
    </w:p>
    <w:p>
      <w:pPr>
        <w:pStyle w:val="Normal"/>
        <w:widowControl/>
        <w:rPr/>
      </w:pPr>
      <w:r>
        <w:rPr>
          <w:b/>
          <w:sz w:val="22"/>
        </w:rPr>
        <w:t xml:space="preserve">FROM: </w:t>
        <w:tab/>
      </w:r>
      <w:r>
        <w:rPr>
          <w:sz w:val="22"/>
        </w:rPr>
        <w:t>Rae McQuade, Executive Director</w:t>
      </w:r>
    </w:p>
    <w:p>
      <w:pPr>
        <w:pStyle w:val="Normal"/>
        <w:widowControl/>
        <w:rPr>
          <w:sz w:val="22"/>
        </w:rPr>
      </w:pPr>
      <w:r>
        <w:rPr>
          <w:sz w:val="22"/>
        </w:rPr>
        <w:tab/>
        <w:tab/>
        <w:t>GISB Board Task Force</w:t>
      </w:r>
    </w:p>
    <w:p>
      <w:pPr>
        <w:pStyle w:val="Normal"/>
        <w:widowControl/>
        <w:ind w:hanging="1440" w:start="1440" w:end="0"/>
        <w:rPr/>
      </w:pPr>
      <w:r>
        <w:rPr>
          <w:b/>
          <w:sz w:val="22"/>
        </w:rPr>
        <w:t>RE:</w:t>
        <w:tab/>
      </w:r>
      <w:r>
        <w:rPr>
          <w:sz w:val="22"/>
        </w:rPr>
        <w:t>GISB Expenditures and Impact to the 2000 Annual Plan As a Result of the Board Task Force Activities</w:t>
      </w:r>
    </w:p>
    <w:p>
      <w:pPr>
        <w:pStyle w:val="Normal"/>
        <w:widowControl/>
        <w:pBdr>
          <w:bottom w:val="single" w:sz="12" w:space="1" w:color="000000"/>
        </w:pBdr>
        <w:rPr>
          <w:b/>
          <w:sz w:val="22"/>
        </w:rPr>
      </w:pPr>
      <w:r>
        <w:rPr>
          <w:b/>
          <w:sz w:val="22"/>
        </w:rPr>
        <w:t>DATE:</w:t>
      </w:r>
      <w:r>
        <w:rPr>
          <w:sz w:val="22"/>
        </w:rPr>
        <w:tab/>
        <w:tab/>
        <w:t>June 5, 2000</w:t>
      </w:r>
    </w:p>
    <w:p>
      <w:pPr>
        <w:pStyle w:val="Normal"/>
        <w:widowControl/>
        <w:jc w:val="both"/>
        <w:rPr>
          <w:b/>
          <w:bCs/>
          <w:sz w:val="22"/>
        </w:rPr>
      </w:pPr>
      <w:r>
        <w:rPr>
          <w:b/>
          <w:bCs/>
          <w:sz w:val="22"/>
        </w:rPr>
      </w:r>
    </w:p>
    <w:p>
      <w:pPr>
        <w:pStyle w:val="Normal"/>
        <w:widowControl/>
        <w:ind w:firstLine="720" w:end="0"/>
        <w:jc w:val="both"/>
        <w:rPr>
          <w:bCs/>
          <w:sz w:val="22"/>
        </w:rPr>
      </w:pPr>
      <w:r>
        <w:rPr>
          <w:bCs/>
          <w:sz w:val="22"/>
        </w:rPr>
        <w:t xml:space="preserve">GISB has incurred expenses as a result of the three public meetings and several meetings held with government agencies, trade associations, and corporations to collect information for the Board regarding the request made by the Coalition of Uniform Business Rules (CUBR) to the Board last September.  The expenses to date have been accommodated through the Board approved 2000 budget – although they were not explicitly identified during the budgeting process.  This accommodation – particularly for travel expenses -- has been made possible by pairing the activities, where possible, with other activities that were considered as the budget was put together.   It has also been made possible through the generous donation of meeting space and use of audiovisual equipment from the Department of Energy and the FERC.  Others provided services at no charge or heavily discounted charges to GISB. Attached is a listing by meeting of the expenses incurred by GISB that are directly attributable to the collection of information for the Board regarding the CUBR proposal.  If the meeting could be accommodated through pairing it with another planned activity that was not related to the CUBR proposal, then the expenses shown are $0.  </w:t>
      </w:r>
    </w:p>
    <w:p>
      <w:pPr>
        <w:pStyle w:val="Normal"/>
        <w:widowControl/>
        <w:ind w:firstLine="720" w:end="0"/>
        <w:jc w:val="both"/>
        <w:rPr>
          <w:bCs/>
          <w:sz w:val="22"/>
        </w:rPr>
      </w:pPr>
      <w:r>
        <w:rPr>
          <w:bCs/>
          <w:sz w:val="22"/>
        </w:rPr>
        <w:t xml:space="preserve">The GISB Executive Committee and its subcommittees and task forces complete the annual plan.  GISB staff does not contribute work to these subcommittees and task forces other than to help at the startup of a subcommittee and distribute subcommittee work products.  GISB staff arranges for the conference calls, and supports the administrative activities of the meetings.  As such, the annual plan has not been impacted by the efforts of GISB staff regarding the CUBR proposal. For the impact of these activities on the 2000 Annual Plan, the only shared resources are the two Executive Committee members – Jim Buccigross and Mike Novak.  Their efforts towards a response to the CUBR proposal have not impacted any of the annual plan items progress nor do they expect that there will be such an impact with future activities. </w:t>
      </w:r>
    </w:p>
    <w:p>
      <w:pPr>
        <w:pStyle w:val="Normal"/>
        <w:widowControl/>
        <w:jc w:val="both"/>
        <w:rPr>
          <w:bCs/>
          <w:sz w:val="22"/>
        </w:rPr>
      </w:pPr>
      <w:r>
        <w:rPr>
          <w:bCs/>
          <w:sz w:val="22"/>
        </w:rPr>
      </w:r>
    </w:p>
    <w:p>
      <w:pPr>
        <w:pStyle w:val="Normal"/>
        <w:widowControl/>
        <w:jc w:val="center"/>
        <w:rPr>
          <w:bCs/>
          <w:sz w:val="22"/>
        </w:rPr>
      </w:pPr>
      <w:r>
        <w:rPr>
          <w:bCs/>
          <w:sz w:val="22"/>
        </w:rPr>
      </w:r>
    </w:p>
    <w:p>
      <w:pPr>
        <w:pStyle w:val="Normal"/>
        <w:widowControl/>
        <w:tabs>
          <w:tab w:val="clear" w:pos="720"/>
          <w:tab w:val="left" w:pos="3615" w:leader="none"/>
        </w:tabs>
        <w:rPr>
          <w:sz w:val="22"/>
        </w:rPr>
      </w:pPr>
      <w:r>
        <w:rPr>
          <w:sz w:val="22"/>
        </w:rPr>
        <w:tab/>
      </w:r>
      <w:r>
        <w:br w:type="page"/>
      </w:r>
    </w:p>
    <w:p>
      <w:pPr>
        <w:pStyle w:val="Normal"/>
        <w:widowControl/>
        <w:jc w:val="center"/>
        <w:rPr>
          <w:b/>
          <w:sz w:val="22"/>
        </w:rPr>
      </w:pPr>
      <w:r>
        <w:rPr>
          <w:b/>
          <w:sz w:val="22"/>
        </w:rPr>
        <w:t>Gas Industry Standards Board Expenses</w:t>
      </w:r>
    </w:p>
    <w:p>
      <w:pPr>
        <w:pStyle w:val="Normal"/>
        <w:widowControl/>
        <w:jc w:val="center"/>
        <w:rPr>
          <w:b/>
          <w:sz w:val="22"/>
        </w:rPr>
      </w:pPr>
      <w:r>
        <w:rPr>
          <w:b/>
          <w:sz w:val="22"/>
        </w:rPr>
        <w:t>For Board Task Force Activities Related to the CUBR Request</w:t>
      </w:r>
    </w:p>
    <w:p>
      <w:pPr>
        <w:pStyle w:val="Normal"/>
        <w:widowControl/>
        <w:jc w:val="both"/>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1278"/>
        <w:gridCol w:w="2160"/>
        <w:gridCol w:w="1620"/>
        <w:gridCol w:w="4518"/>
      </w:tblGrid>
      <w:tr>
        <w:trPr/>
        <w:tc>
          <w:tcPr>
            <w:tcW w:w="1278" w:type="dxa"/>
            <w:tcBorders>
              <w:top w:val="single" w:sz="12" w:space="0" w:color="000000"/>
              <w:bottom w:val="single" w:sz="12" w:space="0" w:color="000000"/>
            </w:tcBorders>
          </w:tcPr>
          <w:p>
            <w:pPr>
              <w:pStyle w:val="Normal"/>
              <w:widowControl/>
              <w:spacing w:before="100" w:after="0"/>
              <w:jc w:val="center"/>
              <w:rPr>
                <w:bCs/>
                <w:sz w:val="18"/>
              </w:rPr>
            </w:pPr>
            <w:r>
              <w:rPr>
                <w:bCs/>
                <w:sz w:val="18"/>
              </w:rPr>
              <w:t>Date</w:t>
            </w:r>
          </w:p>
        </w:tc>
        <w:tc>
          <w:tcPr>
            <w:tcW w:w="2160" w:type="dxa"/>
            <w:tcBorders>
              <w:top w:val="single" w:sz="12" w:space="0" w:color="000000"/>
              <w:bottom w:val="single" w:sz="12" w:space="0" w:color="000000"/>
            </w:tcBorders>
          </w:tcPr>
          <w:p>
            <w:pPr>
              <w:pStyle w:val="Normal"/>
              <w:widowControl/>
              <w:spacing w:before="100" w:after="0"/>
              <w:jc w:val="center"/>
              <w:rPr>
                <w:bCs/>
                <w:sz w:val="18"/>
              </w:rPr>
            </w:pPr>
            <w:r>
              <w:rPr>
                <w:bCs/>
                <w:sz w:val="18"/>
              </w:rPr>
              <w:t>Attendees</w:t>
            </w:r>
          </w:p>
        </w:tc>
        <w:tc>
          <w:tcPr>
            <w:tcW w:w="1620" w:type="dxa"/>
            <w:tcBorders>
              <w:top w:val="single" w:sz="12" w:space="0" w:color="000000"/>
              <w:bottom w:val="single" w:sz="12" w:space="0" w:color="000000"/>
            </w:tcBorders>
          </w:tcPr>
          <w:p>
            <w:pPr>
              <w:pStyle w:val="Normal"/>
              <w:widowControl/>
              <w:spacing w:before="100" w:after="0"/>
              <w:jc w:val="center"/>
              <w:rPr>
                <w:bCs/>
                <w:sz w:val="18"/>
              </w:rPr>
            </w:pPr>
            <w:r>
              <w:rPr>
                <w:bCs/>
                <w:sz w:val="18"/>
              </w:rPr>
              <w:t xml:space="preserve">Cost </w:t>
            </w:r>
          </w:p>
        </w:tc>
        <w:tc>
          <w:tcPr>
            <w:tcW w:w="4518" w:type="dxa"/>
            <w:tcBorders>
              <w:top w:val="single" w:sz="12" w:space="0" w:color="000000"/>
              <w:bottom w:val="single" w:sz="12" w:space="0" w:color="000000"/>
            </w:tcBorders>
          </w:tcPr>
          <w:p>
            <w:pPr>
              <w:pStyle w:val="Normal"/>
              <w:widowControl/>
              <w:spacing w:before="100" w:after="0"/>
              <w:jc w:val="center"/>
              <w:rPr>
                <w:bCs/>
                <w:sz w:val="18"/>
              </w:rPr>
            </w:pPr>
            <w:r>
              <w:rPr>
                <w:bCs/>
                <w:sz w:val="18"/>
              </w:rPr>
              <w:t>Cost Description</w:t>
            </w:r>
          </w:p>
        </w:tc>
      </w:tr>
      <w:tr>
        <w:trPr/>
        <w:tc>
          <w:tcPr>
            <w:tcW w:w="1278" w:type="dxa"/>
            <w:tcBorders>
              <w:top w:val="single" w:sz="12" w:space="0" w:color="000000"/>
              <w:bottom w:val="dotted" w:sz="4" w:space="0" w:color="000000"/>
            </w:tcBorders>
          </w:tcPr>
          <w:p>
            <w:pPr>
              <w:pStyle w:val="Normal"/>
              <w:widowControl/>
              <w:spacing w:before="100" w:after="0"/>
              <w:jc w:val="both"/>
              <w:rPr>
                <w:bCs/>
                <w:sz w:val="18"/>
              </w:rPr>
            </w:pPr>
            <w:r>
              <w:rPr>
                <w:bCs/>
                <w:sz w:val="18"/>
              </w:rPr>
              <w:t>2/14/00</w:t>
            </w:r>
          </w:p>
        </w:tc>
        <w:tc>
          <w:tcPr>
            <w:tcW w:w="2160" w:type="dxa"/>
            <w:tcBorders>
              <w:top w:val="single" w:sz="12" w:space="0" w:color="000000"/>
              <w:bottom w:val="dotted" w:sz="4" w:space="0" w:color="000000"/>
            </w:tcBorders>
          </w:tcPr>
          <w:p>
            <w:pPr>
              <w:pStyle w:val="Normal"/>
              <w:widowControl/>
              <w:spacing w:before="100" w:after="0"/>
              <w:jc w:val="both"/>
              <w:rPr>
                <w:bCs/>
                <w:sz w:val="18"/>
              </w:rPr>
            </w:pPr>
            <w:r>
              <w:rPr>
                <w:bCs/>
                <w:sz w:val="18"/>
              </w:rPr>
              <w:t>Industry Meeting</w:t>
            </w:r>
          </w:p>
        </w:tc>
        <w:tc>
          <w:tcPr>
            <w:tcW w:w="1620" w:type="dxa"/>
            <w:tcBorders>
              <w:top w:val="single" w:sz="12" w:space="0" w:color="000000"/>
              <w:bottom w:val="dotted" w:sz="4" w:space="0" w:color="000000"/>
            </w:tcBorders>
          </w:tcPr>
          <w:p>
            <w:pPr>
              <w:pStyle w:val="Normal"/>
              <w:widowControl/>
              <w:spacing w:before="100" w:after="0"/>
              <w:jc w:val="end"/>
              <w:rPr>
                <w:bCs/>
                <w:sz w:val="18"/>
              </w:rPr>
            </w:pPr>
            <w:r>
              <w:rPr>
                <w:bCs/>
                <w:sz w:val="18"/>
              </w:rPr>
              <w:t>$1,536</w:t>
            </w:r>
          </w:p>
        </w:tc>
        <w:tc>
          <w:tcPr>
            <w:tcW w:w="4518" w:type="dxa"/>
            <w:tcBorders>
              <w:top w:val="single" w:sz="12" w:space="0" w:color="000000"/>
              <w:bottom w:val="dotted" w:sz="4" w:space="0" w:color="000000"/>
            </w:tcBorders>
          </w:tcPr>
          <w:p>
            <w:pPr>
              <w:pStyle w:val="Normal"/>
              <w:widowControl/>
              <w:spacing w:before="100" w:after="0"/>
              <w:jc w:val="both"/>
              <w:rPr>
                <w:bCs/>
                <w:sz w:val="18"/>
              </w:rPr>
            </w:pPr>
            <w:r>
              <w:rPr>
                <w:bCs/>
                <w:sz w:val="18"/>
              </w:rPr>
              <w:t>Travel Expenses for Staff and Legal Expenses</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4/17/00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Industry Meeting</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$1,155</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Travel Expenses for Staff and Legal Expenses</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4/26/00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Industry Meeting</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$1,211</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Travel Expenses for Staff and Legal Expenses</w:t>
            </w:r>
          </w:p>
        </w:tc>
      </w:tr>
      <w:tr>
        <w:trPr/>
        <w:tc>
          <w:tcPr>
            <w:tcW w:w="1278"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c>
          <w:tcPr>
            <w:tcW w:w="2160"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c>
          <w:tcPr>
            <w:tcW w:w="1620" w:type="dxa"/>
            <w:tcBorders>
              <w:top w:val="dotted" w:sz="4" w:space="0" w:color="000000"/>
              <w:bottom w:val="dotted" w:sz="4" w:space="0" w:color="000000"/>
            </w:tcBorders>
            <w:shd w:fill="C0C0C0" w:val="clear"/>
          </w:tcPr>
          <w:p>
            <w:pPr>
              <w:pStyle w:val="Normal"/>
              <w:widowControl/>
              <w:snapToGrid w:val="false"/>
              <w:spacing w:before="100" w:after="0"/>
              <w:jc w:val="end"/>
              <w:rPr>
                <w:bCs/>
                <w:sz w:val="18"/>
              </w:rPr>
            </w:pPr>
            <w:r>
              <w:rPr>
                <w:bCs/>
                <w:sz w:val="18"/>
              </w:rPr>
            </w:r>
          </w:p>
        </w:tc>
        <w:tc>
          <w:tcPr>
            <w:tcW w:w="4518"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4/19/00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Southern Company</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$218</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Travel Expenses to Atlanta</w:t>
            </w:r>
          </w:p>
        </w:tc>
      </w:tr>
      <w:tr>
        <w:trPr/>
        <w:tc>
          <w:tcPr>
            <w:tcW w:w="1278"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c>
          <w:tcPr>
            <w:tcW w:w="2160"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c>
          <w:tcPr>
            <w:tcW w:w="1620" w:type="dxa"/>
            <w:tcBorders>
              <w:top w:val="dotted" w:sz="4" w:space="0" w:color="000000"/>
              <w:bottom w:val="dotted" w:sz="4" w:space="0" w:color="000000"/>
            </w:tcBorders>
            <w:shd w:fill="C0C0C0" w:val="clear"/>
          </w:tcPr>
          <w:p>
            <w:pPr>
              <w:pStyle w:val="Normal"/>
              <w:widowControl/>
              <w:snapToGrid w:val="false"/>
              <w:spacing w:before="100" w:after="0"/>
              <w:jc w:val="end"/>
              <w:rPr>
                <w:bCs/>
                <w:sz w:val="18"/>
              </w:rPr>
            </w:pPr>
            <w:r>
              <w:rPr>
                <w:bCs/>
                <w:sz w:val="18"/>
              </w:rPr>
            </w:r>
          </w:p>
        </w:tc>
        <w:tc>
          <w:tcPr>
            <w:tcW w:w="4518"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3/27/00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AGA</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See NARUC</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5/18/00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APPA</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$813</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Meeting with several associations re CUBR request.</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3/28/00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CAEM</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See DOE &amp; FERC</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3/28/00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EEI</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See DOE &amp; FERC</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5/19/00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ELCON</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See APPA</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Meeting with several associations re CUBR request.</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5/18/00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EPSA</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See APPA</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Meeting with several associations re CUBR request.</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3/28/00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INGAA</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See DOE &amp; FERC</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3/5/00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NARUC</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 xml:space="preserve">Attendance at NARUC meetings are normal planned expenses at the request of State Commissioners </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3/27/00</w:t>
            </w:r>
          </w:p>
          <w:p>
            <w:pPr>
              <w:pStyle w:val="Normal"/>
              <w:widowControl/>
              <w:jc w:val="both"/>
              <w:rPr>
                <w:bCs/>
                <w:sz w:val="18"/>
              </w:rPr>
            </w:pPr>
            <w:r>
              <w:rPr>
                <w:bCs/>
                <w:sz w:val="18"/>
              </w:rPr>
              <w:t>4/18/00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NEM</w:t>
            </w:r>
          </w:p>
        </w:tc>
        <w:tc>
          <w:tcPr>
            <w:tcW w:w="1620" w:type="dxa"/>
            <w:tcBorders>
              <w:top w:val="dotted" w:sz="4" w:space="0" w:color="000000"/>
              <w:bottom w:val="dotted" w:sz="4" w:space="0" w:color="000000"/>
            </w:tcBorders>
          </w:tcPr>
          <w:p>
            <w:pPr>
              <w:pStyle w:val="Normal"/>
              <w:widowControl/>
              <w:snapToGrid w:val="false"/>
              <w:spacing w:before="100" w:after="0"/>
              <w:jc w:val="end"/>
              <w:rPr>
                <w:bCs/>
                <w:sz w:val="18"/>
              </w:rPr>
            </w:pPr>
            <w:r>
              <w:rPr>
                <w:bCs/>
                <w:sz w:val="18"/>
              </w:rPr>
            </w:r>
          </w:p>
          <w:p>
            <w:pPr>
              <w:pStyle w:val="Normal"/>
              <w:widowControl/>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See DOE</w:t>
            </w:r>
          </w:p>
          <w:p>
            <w:pPr>
              <w:pStyle w:val="Normal"/>
              <w:widowControl/>
              <w:jc w:val="both"/>
              <w:rPr>
                <w:bCs/>
                <w:sz w:val="18"/>
              </w:rPr>
            </w:pPr>
            <w:r>
              <w:rPr>
                <w:bCs/>
                <w:sz w:val="18"/>
              </w:rPr>
              <w:t>Speech to NEM on GISB Organization</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3/28/00</w:t>
            </w:r>
          </w:p>
          <w:p>
            <w:pPr>
              <w:pStyle w:val="Normal"/>
              <w:widowControl/>
              <w:jc w:val="both"/>
              <w:rPr>
                <w:bCs/>
                <w:sz w:val="18"/>
              </w:rPr>
            </w:pPr>
            <w:r>
              <w:rPr>
                <w:bCs/>
                <w:sz w:val="18"/>
              </w:rPr>
              <w:t>5/18/00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NERC</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p>
            <w:pPr>
              <w:pStyle w:val="Normal"/>
              <w:widowControl/>
              <w:jc w:val="end"/>
              <w:rPr>
                <w:bCs/>
                <w:sz w:val="18"/>
              </w:rPr>
            </w:pPr>
            <w:r>
              <w:rPr>
                <w:bCs/>
                <w:sz w:val="18"/>
              </w:rPr>
              <w:t>See APPA</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See DOE &amp; FERC</w:t>
            </w:r>
          </w:p>
          <w:p>
            <w:pPr>
              <w:pStyle w:val="Normal"/>
              <w:widowControl/>
              <w:jc w:val="both"/>
              <w:rPr>
                <w:bCs/>
                <w:sz w:val="18"/>
              </w:rPr>
            </w:pPr>
            <w:r>
              <w:rPr>
                <w:bCs/>
                <w:sz w:val="18"/>
              </w:rPr>
              <w:t>Meeting with several associations re CUBR request.</w:t>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3/28/00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NGSA</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See DOE &amp; FERC</w:t>
            </w:r>
          </w:p>
        </w:tc>
      </w:tr>
      <w:tr>
        <w:trPr/>
        <w:tc>
          <w:tcPr>
            <w:tcW w:w="1278"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c>
          <w:tcPr>
            <w:tcW w:w="2160"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c>
          <w:tcPr>
            <w:tcW w:w="1620" w:type="dxa"/>
            <w:tcBorders>
              <w:top w:val="dotted" w:sz="4" w:space="0" w:color="000000"/>
              <w:bottom w:val="dotted" w:sz="4" w:space="0" w:color="000000"/>
            </w:tcBorders>
            <w:shd w:fill="C0C0C0" w:val="clear"/>
          </w:tcPr>
          <w:p>
            <w:pPr>
              <w:pStyle w:val="Normal"/>
              <w:widowControl/>
              <w:snapToGrid w:val="false"/>
              <w:spacing w:before="100" w:after="0"/>
              <w:jc w:val="end"/>
              <w:rPr>
                <w:bCs/>
                <w:sz w:val="18"/>
              </w:rPr>
            </w:pPr>
            <w:r>
              <w:rPr>
                <w:bCs/>
                <w:sz w:val="18"/>
              </w:rPr>
            </w:r>
          </w:p>
        </w:tc>
        <w:tc>
          <w:tcPr>
            <w:tcW w:w="4518" w:type="dxa"/>
            <w:tcBorders>
              <w:top w:val="dotted" w:sz="4" w:space="0" w:color="000000"/>
              <w:bottom w:val="dotted" w:sz="4" w:space="0" w:color="000000"/>
            </w:tcBorders>
            <w:shd w:fill="C0C0C0" w:val="clear"/>
          </w:tcPr>
          <w:p>
            <w:pPr>
              <w:pStyle w:val="Normal"/>
              <w:widowControl/>
              <w:snapToGrid w:val="false"/>
              <w:spacing w:before="100" w:after="0"/>
              <w:jc w:val="both"/>
              <w:rPr>
                <w:bCs/>
                <w:sz w:val="18"/>
              </w:rPr>
            </w:pPr>
            <w:r>
              <w:rPr>
                <w:bCs/>
                <w:sz w:val="18"/>
              </w:rPr>
            </w:r>
          </w:p>
        </w:tc>
      </w:tr>
      <w:tr>
        <w:trPr/>
        <w:tc>
          <w:tcPr>
            <w:tcW w:w="1278" w:type="dxa"/>
            <w:tcBorders>
              <w:top w:val="dotted" w:sz="4" w:space="0" w:color="000000"/>
              <w:bottom w:val="dotted" w:sz="4" w:space="0" w:color="000000"/>
            </w:tcBorders>
          </w:tcPr>
          <w:p>
            <w:pPr>
              <w:pStyle w:val="Normal"/>
              <w:widowControl/>
              <w:spacing w:before="100" w:after="0"/>
              <w:jc w:val="both"/>
              <w:rPr>
                <w:bCs/>
                <w:sz w:val="18"/>
              </w:rPr>
            </w:pPr>
            <w:r>
              <w:rPr>
                <w:bCs/>
                <w:sz w:val="18"/>
              </w:rPr>
              <w:t>2/14/00</w:t>
            </w:r>
          </w:p>
          <w:p>
            <w:pPr>
              <w:pStyle w:val="Normal"/>
              <w:widowControl/>
              <w:jc w:val="both"/>
              <w:rPr>
                <w:bCs/>
                <w:sz w:val="18"/>
              </w:rPr>
            </w:pPr>
            <w:r>
              <w:rPr>
                <w:bCs/>
                <w:sz w:val="18"/>
              </w:rPr>
              <w:t>3/28/00</w:t>
            </w:r>
          </w:p>
          <w:p>
            <w:pPr>
              <w:pStyle w:val="Normal"/>
              <w:widowControl/>
              <w:jc w:val="both"/>
              <w:rPr>
                <w:bCs/>
                <w:sz w:val="18"/>
              </w:rPr>
            </w:pPr>
            <w:r>
              <w:rPr>
                <w:bCs/>
                <w:sz w:val="18"/>
              </w:rPr>
              <w:t>4/17/00</w:t>
            </w:r>
          </w:p>
        </w:tc>
        <w:tc>
          <w:tcPr>
            <w:tcW w:w="2160" w:type="dxa"/>
            <w:tcBorders>
              <w:top w:val="dotted" w:sz="4" w:space="0" w:color="000000"/>
              <w:bottom w:val="dotted" w:sz="4" w:space="0" w:color="000000"/>
            </w:tcBorders>
          </w:tcPr>
          <w:p>
            <w:pPr>
              <w:pStyle w:val="Normal"/>
              <w:widowControl/>
              <w:spacing w:before="100" w:after="0"/>
              <w:jc w:val="both"/>
              <w:rPr>
                <w:bCs/>
                <w:sz w:val="18"/>
              </w:rPr>
            </w:pPr>
            <w:r>
              <w:rPr>
                <w:bCs/>
                <w:sz w:val="18"/>
              </w:rPr>
              <w:t>DOE</w:t>
            </w:r>
          </w:p>
        </w:tc>
        <w:tc>
          <w:tcPr>
            <w:tcW w:w="1620" w:type="dxa"/>
            <w:tcBorders>
              <w:top w:val="dotted" w:sz="4" w:space="0" w:color="000000"/>
              <w:bottom w:val="dotted" w:sz="4"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dotted" w:sz="4" w:space="0" w:color="000000"/>
            </w:tcBorders>
          </w:tcPr>
          <w:p>
            <w:pPr>
              <w:pStyle w:val="Normal"/>
              <w:widowControl/>
              <w:spacing w:before="100" w:after="0"/>
              <w:jc w:val="both"/>
              <w:rPr>
                <w:bCs/>
                <w:sz w:val="18"/>
              </w:rPr>
            </w:pPr>
            <w:r>
              <w:rPr>
                <w:bCs/>
                <w:sz w:val="18"/>
              </w:rPr>
              <w:t>Several meetings were planned with the DOE for the Sandia activities, to receive an award from the DOE and for planning for the 2000 Annual Meeting.  During those meetings the CUBR request was also discussed.</w:t>
            </w:r>
          </w:p>
        </w:tc>
      </w:tr>
      <w:tr>
        <w:trPr/>
        <w:tc>
          <w:tcPr>
            <w:tcW w:w="1278" w:type="dxa"/>
            <w:tcBorders>
              <w:top w:val="dotted" w:sz="4" w:space="0" w:color="000000"/>
              <w:bottom w:val="single" w:sz="12" w:space="0" w:color="000000"/>
            </w:tcBorders>
          </w:tcPr>
          <w:p>
            <w:pPr>
              <w:pStyle w:val="Normal"/>
              <w:widowControl/>
              <w:spacing w:before="100" w:after="0"/>
              <w:jc w:val="both"/>
              <w:rPr>
                <w:bCs/>
                <w:sz w:val="18"/>
              </w:rPr>
            </w:pPr>
            <w:r>
              <w:rPr>
                <w:bCs/>
                <w:sz w:val="18"/>
              </w:rPr>
              <w:t>3/29/00</w:t>
            </w:r>
          </w:p>
          <w:p>
            <w:pPr>
              <w:pStyle w:val="Normal"/>
              <w:widowControl/>
              <w:jc w:val="both"/>
              <w:rPr>
                <w:bCs/>
                <w:sz w:val="18"/>
              </w:rPr>
            </w:pPr>
            <w:r>
              <w:rPr>
                <w:bCs/>
                <w:sz w:val="18"/>
              </w:rPr>
              <w:t>4/26/00</w:t>
            </w:r>
          </w:p>
        </w:tc>
        <w:tc>
          <w:tcPr>
            <w:tcW w:w="2160" w:type="dxa"/>
            <w:tcBorders>
              <w:top w:val="dotted" w:sz="4" w:space="0" w:color="000000"/>
              <w:bottom w:val="single" w:sz="12" w:space="0" w:color="000000"/>
            </w:tcBorders>
          </w:tcPr>
          <w:p>
            <w:pPr>
              <w:pStyle w:val="Normal"/>
              <w:widowControl/>
              <w:spacing w:before="100" w:after="0"/>
              <w:jc w:val="both"/>
              <w:rPr>
                <w:bCs/>
                <w:sz w:val="18"/>
              </w:rPr>
            </w:pPr>
            <w:r>
              <w:rPr>
                <w:bCs/>
                <w:sz w:val="18"/>
              </w:rPr>
              <w:t>FERC</w:t>
            </w:r>
          </w:p>
        </w:tc>
        <w:tc>
          <w:tcPr>
            <w:tcW w:w="1620" w:type="dxa"/>
            <w:tcBorders>
              <w:top w:val="dotted" w:sz="4" w:space="0" w:color="000000"/>
              <w:bottom w:val="single" w:sz="12" w:space="0" w:color="000000"/>
            </w:tcBorders>
          </w:tcPr>
          <w:p>
            <w:pPr>
              <w:pStyle w:val="Normal"/>
              <w:widowControl/>
              <w:spacing w:before="100" w:after="0"/>
              <w:jc w:val="end"/>
              <w:rPr>
                <w:bCs/>
                <w:sz w:val="18"/>
              </w:rPr>
            </w:pPr>
            <w:r>
              <w:rPr>
                <w:bCs/>
                <w:sz w:val="18"/>
              </w:rPr>
              <w:t>$0</w:t>
            </w:r>
          </w:p>
        </w:tc>
        <w:tc>
          <w:tcPr>
            <w:tcW w:w="4518" w:type="dxa"/>
            <w:tcBorders>
              <w:top w:val="dotted" w:sz="4" w:space="0" w:color="000000"/>
              <w:bottom w:val="single" w:sz="12" w:space="0" w:color="000000"/>
            </w:tcBorders>
          </w:tcPr>
          <w:p>
            <w:pPr>
              <w:pStyle w:val="Normal"/>
              <w:widowControl/>
              <w:spacing w:before="100" w:after="0"/>
              <w:jc w:val="both"/>
              <w:rPr>
                <w:bCs/>
                <w:sz w:val="18"/>
              </w:rPr>
            </w:pPr>
            <w:r>
              <w:rPr>
                <w:bCs/>
                <w:sz w:val="18"/>
              </w:rPr>
              <w:t>Several meetings were planned with the FERC to review status reports.  During those meetings the CUBR request was also discussed.</w:t>
            </w:r>
          </w:p>
        </w:tc>
      </w:tr>
      <w:tr>
        <w:trPr/>
        <w:tc>
          <w:tcPr>
            <w:tcW w:w="1278" w:type="dxa"/>
            <w:tcBorders>
              <w:top w:val="single" w:sz="12" w:space="0" w:color="000000"/>
              <w:bottom w:val="single" w:sz="12" w:space="0" w:color="000000"/>
            </w:tcBorders>
          </w:tcPr>
          <w:p>
            <w:pPr>
              <w:pStyle w:val="Normal"/>
              <w:widowControl/>
              <w:snapToGrid w:val="false"/>
              <w:spacing w:before="100" w:after="0"/>
              <w:jc w:val="both"/>
              <w:rPr>
                <w:bCs/>
                <w:sz w:val="18"/>
              </w:rPr>
            </w:pPr>
            <w:r>
              <w:rPr>
                <w:bCs/>
                <w:sz w:val="18"/>
              </w:rPr>
            </w:r>
          </w:p>
        </w:tc>
        <w:tc>
          <w:tcPr>
            <w:tcW w:w="2160" w:type="dxa"/>
            <w:tcBorders>
              <w:top w:val="single" w:sz="12" w:space="0" w:color="000000"/>
              <w:bottom w:val="single" w:sz="12" w:space="0" w:color="000000"/>
            </w:tcBorders>
          </w:tcPr>
          <w:p>
            <w:pPr>
              <w:pStyle w:val="Normal"/>
              <w:widowControl/>
              <w:snapToGrid w:val="false"/>
              <w:spacing w:before="100" w:after="0"/>
              <w:jc w:val="both"/>
              <w:rPr>
                <w:bCs/>
                <w:sz w:val="18"/>
              </w:rPr>
            </w:pPr>
            <w:r>
              <w:rPr>
                <w:bCs/>
                <w:sz w:val="18"/>
              </w:rPr>
            </w:r>
          </w:p>
        </w:tc>
        <w:tc>
          <w:tcPr>
            <w:tcW w:w="1620" w:type="dxa"/>
            <w:tcBorders>
              <w:top w:val="single" w:sz="12" w:space="0" w:color="000000"/>
              <w:bottom w:val="single" w:sz="12" w:space="0" w:color="000000"/>
            </w:tcBorders>
          </w:tcPr>
          <w:p>
            <w:pPr>
              <w:pStyle w:val="Normal"/>
              <w:widowControl/>
              <w:spacing w:before="100" w:after="0"/>
              <w:jc w:val="end"/>
              <w:rPr>
                <w:bCs/>
                <w:sz w:val="18"/>
              </w:rPr>
            </w:pPr>
            <w:r>
              <w:rPr>
                <w:bCs/>
                <w:sz w:val="18"/>
              </w:rPr>
              <w:t>$4,933</w:t>
            </w:r>
          </w:p>
        </w:tc>
        <w:tc>
          <w:tcPr>
            <w:tcW w:w="4518" w:type="dxa"/>
            <w:tcBorders>
              <w:top w:val="single" w:sz="12" w:space="0" w:color="000000"/>
              <w:bottom w:val="single" w:sz="12" w:space="0" w:color="000000"/>
            </w:tcBorders>
          </w:tcPr>
          <w:p>
            <w:pPr>
              <w:pStyle w:val="Normal"/>
              <w:widowControl/>
              <w:spacing w:before="100" w:after="0"/>
              <w:jc w:val="both"/>
              <w:rPr>
                <w:bCs/>
                <w:sz w:val="18"/>
              </w:rPr>
            </w:pPr>
            <w:r>
              <w:rPr>
                <w:bCs/>
                <w:sz w:val="18"/>
              </w:rPr>
              <w:t>Total Through June 1, 2000</w:t>
            </w:r>
          </w:p>
        </w:tc>
      </w:tr>
    </w:tbl>
    <w:p>
      <w:pPr>
        <w:pStyle w:val="Normal"/>
        <w:widowControl/>
        <w:jc w:val="both"/>
        <w:rPr>
          <w:bCs/>
          <w:sz w:val="22"/>
        </w:rPr>
      </w:pPr>
      <w:r>
        <w:rPr>
          <w:bCs/>
          <w:sz w:val="22"/>
        </w:rPr>
        <w:tab/>
        <w:tab/>
        <w:tab/>
        <w:tab/>
        <w:t xml:space="preserve">  </w:t>
      </w:r>
    </w:p>
    <w:p>
      <w:pPr>
        <w:pStyle w:val="BodyTextIndent3"/>
        <w:ind w:firstLine="360" w:start="0" w:end="0"/>
        <w:jc w:val="both"/>
        <w:rPr>
          <w:rFonts w:ascii="Bookman Old Style" w:hAnsi="Bookman Old Style" w:cs="Bookman Old Style"/>
          <w:bCs/>
          <w:sz w:val="22"/>
        </w:rPr>
      </w:pPr>
      <w:r>
        <w:rPr>
          <w:rFonts w:cs="Bookman Old Style" w:ascii="Bookman Old Style" w:hAnsi="Bookman Old Style"/>
          <w:bCs/>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100" w:after="0"/>
      <w:jc w:val="end"/>
      <w:rPr/>
    </w:pPr>
    <w:r>
      <w:rPr/>
      <w:t>____________________________________________________________________________________________</w:t>
    </w:r>
  </w:p>
  <w:p>
    <w:pPr>
      <w:pStyle w:val="Footer"/>
      <w:widowControl/>
      <w:spacing w:before="0" w:after="0"/>
      <w:jc w:val="end"/>
      <w:rPr>
        <w:sz w:val="18"/>
      </w:rPr>
    </w:pPr>
    <w:r>
      <w:rPr>
        <w:sz w:val="18"/>
      </w:rPr>
      <w:t>June 5, 2000</w:t>
    </w:r>
  </w:p>
  <w:p>
    <w:pPr>
      <w:pStyle w:val="Footer"/>
      <w:widowControl/>
      <w:spacing w:before="0" w:after="0"/>
      <w:jc w:val="end"/>
      <w:rP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p>
    <w:pPr>
      <w:pStyle w:val="Footer"/>
      <w:widowControl/>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00" w:after="0"/>
      <w:rPr/>
    </w:pPr>
    <w:r>
      <w:object w:dxaOrig="1109" w:dyaOrig="110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4.4pt;margin-top:0pt;width:55.45pt;height:55.45pt;mso-wrap-distance-left:9.05pt;mso-wrap-distance-right:9.05pt;mso-position-horizontal-relative:text;mso-position-vertical-relative:text" filled="f" o:ole="">
          <v:imagedata r:id="rId2" o:title=""/>
          <w10:wrap type="topAndBottom"/>
        </v:shape>
        <o:OLEObject Type="Embed" ProgID="" ShapeID="ole_rId1" DrawAspect="Content" ObjectID="_807249686" r:id="rId1"/>
      </w:object>
    </w:r>
    <w:r>
      <w:rPr>
        <w:rFonts w:eastAsia="Bookman Old Style"/>
        <w:b/>
        <w:sz w:val="28"/>
      </w:rPr>
      <w:t xml:space="preserve">                 </w:t>
    </w:r>
    <w:r>
      <w:rPr>
        <w:rFonts w:eastAsia="Symbol" w:cs="Symbol" w:ascii="Symbol" w:hAnsi="Symbol"/>
      </w:rPr>
      <w:sym w:font="Symbol" w:char="f0d2"/>
    </w:r>
    <w:r>
      <w:rPr>
        <w:b/>
        <w:sz w:val="28"/>
      </w:rPr>
      <w:tab/>
      <w:t xml:space="preserve">       </w:t>
      <w:tab/>
      <w:t>Gas Industry Standards Board</w:t>
    </w:r>
  </w:p>
  <w:p>
    <w:pPr>
      <w:pStyle w:val="Header"/>
      <w:widowControl/>
      <w:spacing w:before="0" w:after="0"/>
      <w:jc w:val="end"/>
      <w:rPr/>
    </w:pPr>
    <w:r>
      <w:rPr/>
      <w:t>1100 Louisiana, Suite 4925, Houston, Texas 77002</w:t>
    </w:r>
  </w:p>
  <w:p>
    <w:pPr>
      <w:pStyle w:val="Header"/>
      <w:widowControl/>
      <w:spacing w:before="0" w:after="0"/>
      <w:jc w:val="end"/>
      <w:rPr/>
    </w:pPr>
    <w:r>
      <w:rPr/>
      <w:t>Phone:  (713) 356-0060, Fax:  (713) 356-0067, E-mail: gisb@aol.com</w:t>
    </w:r>
  </w:p>
  <w:p>
    <w:pPr>
      <w:pStyle w:val="Header"/>
      <w:widowControl/>
      <w:pBdr>
        <w:bottom w:val="single" w:sz="12" w:space="1" w:color="000000"/>
      </w:pBdr>
      <w:spacing w:before="0" w:after="0"/>
      <w:jc w:val="end"/>
      <w:rPr/>
    </w:pPr>
    <w:r>
      <w:rPr/>
      <w:t>Home Page: www.gisb.org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0"/>
    </w:pPr>
    <w:rPr>
      <w:rFonts w:ascii="Bookman Old Style" w:hAnsi="Bookman Old Style" w:eastAsia="Times New Roman" w:cs="Bookman Old Style"/>
      <w:color w:val="auto"/>
      <w:sz w:val="20"/>
      <w:szCs w:val="20"/>
      <w:lang w:val="en-US" w:bidi="ar-SA" w:eastAsia="zh-CN"/>
    </w:rPr>
  </w:style>
  <w:style w:type="paragraph" w:styleId="Heading1">
    <w:name w:val="heading 1"/>
    <w:basedOn w:val="Normal"/>
    <w:next w:val="Normal"/>
    <w:qFormat/>
    <w:pPr>
      <w:keepNext w:val="true"/>
      <w:widowControl/>
      <w:numPr>
        <w:ilvl w:val="0"/>
        <w:numId w:val="1"/>
      </w:numPr>
      <w:spacing w:before="120" w:after="120"/>
      <w:outlineLvl w:val="0"/>
    </w:pPr>
    <w:rPr>
      <w:b/>
      <w:smallCaps/>
      <w:sz w:val="16"/>
    </w:rPr>
  </w:style>
  <w:style w:type="paragraph" w:styleId="Heading2">
    <w:name w:val="heading 2"/>
    <w:basedOn w:val="Normal"/>
    <w:next w:val="Normal"/>
    <w:qFormat/>
    <w:pPr>
      <w:keepNext w:val="true"/>
      <w:widowControl/>
      <w:numPr>
        <w:ilvl w:val="1"/>
        <w:numId w:val="1"/>
      </w:numPr>
      <w:tabs>
        <w:tab w:val="left" w:pos="-720" w:leader="none"/>
        <w:tab w:val="left" w:pos="0" w:leader="none"/>
        <w:tab w:val="left" w:pos="720" w:leader="none"/>
      </w:tabs>
      <w:suppressAutoHyphens w:val="true"/>
      <w:spacing w:before="0" w:after="0"/>
      <w:ind w:hanging="1440" w:start="2880" w:end="0"/>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outlineLvl w:val="2"/>
    </w:pPr>
    <w:rPr>
      <w:b/>
      <w:smallCaps/>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b w:val="false"/>
      <w:i w:val="false"/>
      <w:color w:val="auto"/>
    </w:rPr>
  </w:style>
  <w:style w:type="character" w:styleId="WW8Num4z0">
    <w:name w:val="WW8Num4z0"/>
    <w:qFormat/>
    <w:rPr>
      <w:rFonts w:ascii="Symbol" w:hAnsi="Symbol" w:cs="Symbol"/>
    </w:rPr>
  </w:style>
  <w:style w:type="character" w:styleId="WW8Num5z0">
    <w:name w:val="WW8Num5z0"/>
    <w:qFormat/>
    <w:rPr>
      <w:rFonts w:ascii="Symbol" w:hAnsi="Symbol" w:cs="Symbol"/>
      <w:color w:val="auto"/>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z w:val="20"/>
    </w:rPr>
  </w:style>
  <w:style w:type="character" w:styleId="WW8Num15z0">
    <w:name w:val="WW8Num15z0"/>
    <w:qFormat/>
    <w:rPr>
      <w:rFonts w:ascii="Symbol" w:hAnsi="Symbol" w:cs="Symbol"/>
      <w:b w:val="false"/>
      <w:i w:val="false"/>
      <w:color w:val="auto"/>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color w:val="auto"/>
    </w:rPr>
  </w:style>
  <w:style w:type="character" w:styleId="WW8Num43z0">
    <w:name w:val="WW8Num4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44z0">
    <w:name w:val="WW8Num44z0"/>
    <w:qFormat/>
    <w:rPr>
      <w:rFonts w:ascii="Symbol" w:hAnsi="Symbol" w:cs="Symbol"/>
      <w:b w:val="false"/>
      <w:i w:val="false"/>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b w:val="false"/>
      <w:i w:val="false"/>
      <w:color w:val="auto"/>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Symbol" w:hAnsi="Symbol" w:cs="Symbol"/>
    </w:rPr>
  </w:style>
  <w:style w:type="character" w:styleId="WW8Num56z4">
    <w:name w:val="WW8Num56z4"/>
    <w:qFormat/>
    <w:rPr>
      <w:rFonts w:ascii="Courier New" w:hAnsi="Courier New" w:cs="Courier New"/>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rPr>
  </w:style>
  <w:style w:type="character" w:styleId="WW8Num63z0">
    <w:name w:val="WW8Num63z0"/>
    <w:qFormat/>
    <w:rPr>
      <w:rFonts w:ascii="Symbol" w:hAnsi="Symbol" w:cs="Symbol"/>
      <w:b w:val="false"/>
      <w:i w:val="false"/>
      <w:color w:val="auto"/>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color w:val="auto"/>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rFonts w:ascii="Arial" w:hAnsi="Arial" w:cs="Arial"/>
    </w:rPr>
  </w:style>
  <w:style w:type="paragraph" w:styleId="BodyTextIndent2">
    <w:name w:val="Body Text Indent 2"/>
    <w:basedOn w:val="Normal"/>
    <w:qFormat/>
    <w:pPr>
      <w:ind w:hanging="0" w:start="1440" w:end="0"/>
      <w:jc w:val="both"/>
    </w:pPr>
    <w:rPr>
      <w:rFonts w:ascii="Arial" w:hAnsi="Arial" w:cs="Arial"/>
    </w:rPr>
  </w:style>
  <w:style w:type="paragraph" w:styleId="BodyTextIndent3">
    <w:name w:val="Body Text Indent 3"/>
    <w:basedOn w:val="Normal"/>
    <w:qFormat/>
    <w:pPr>
      <w:widowControl/>
      <w:ind w:hanging="1440" w:start="1440" w:end="0"/>
    </w:pPr>
    <w:rPr>
      <w:rFonts w:ascii="Arial" w:hAnsi="Arial" w:cs="Arial"/>
    </w:rPr>
  </w:style>
  <w:style w:type="paragraph" w:styleId="TableFormat">
    <w:name w:val="Table Forma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898" w:leader="none"/>
        <w:tab w:val="left" w:pos="8628" w:leader="none"/>
      </w:tabs>
      <w:bidi w:val="0"/>
      <w:spacing w:lineRule="atLeast" w:line="240" w:before="120" w:after="0"/>
    </w:pPr>
    <w:rPr>
      <w:rFonts w:ascii="Bookman Old Style" w:hAnsi="Bookman Old Style" w:eastAsia="Times New Roman" w:cs="Bookman Old Style"/>
      <w:color w:val="000000"/>
      <w:sz w:val="18"/>
      <w:szCs w:val="20"/>
      <w:lang w:val="en-US" w:bidi="ar-SA" w:eastAsia="zh-CN"/>
    </w:rPr>
  </w:style>
  <w:style w:type="paragraph" w:styleId="BodySingle">
    <w:name w:val="Body Single"/>
    <w:qFormat/>
    <w:pPr>
      <w:widowControl w:val="false"/>
      <w:bidi w:val="0"/>
      <w:spacing w:before="72" w:after="0"/>
      <w:jc w:val="both"/>
    </w:pPr>
    <w:rPr>
      <w:rFonts w:ascii="Helvetica;Arial" w:hAnsi="Helvetica;Arial" w:eastAsia="Times New Roman" w:cs="Helvetica;Arial"/>
      <w:color w:val="000000"/>
      <w:sz w:val="20"/>
      <w:szCs w:val="20"/>
      <w:lang w:val="en-US" w:bidi="ar-SA" w:eastAsia="zh-CN"/>
    </w:rPr>
  </w:style>
  <w:style w:type="paragraph" w:styleId="FootnoteText">
    <w:name w:val="footnote text"/>
    <w:basedOn w:val="Normal"/>
    <w:pPr/>
    <w:rPr/>
  </w:style>
  <w:style w:type="paragraph" w:styleId="TableText">
    <w:name w:val="Table Text"/>
    <w:qFormat/>
    <w:pPr>
      <w:widowControl/>
      <w:bidi w:val="0"/>
    </w:pPr>
    <w:rPr>
      <w:rFonts w:ascii="Arial Narrow" w:hAnsi="Arial Narrow" w:eastAsia="Times New Roman" w:cs="Arial Narrow"/>
      <w:color w:val="000000"/>
      <w:sz w:val="24"/>
      <w:szCs w:val="20"/>
      <w:lang w:val="en-US" w:bidi="ar-SA" w:eastAsia="zh-CN"/>
    </w:rPr>
  </w:style>
  <w:style w:type="paragraph" w:styleId="BodyText2">
    <w:name w:val="Body Text 2"/>
    <w:basedOn w:val="Normal"/>
    <w:qFormat/>
    <w:pPr>
      <w:keepNext w:val="true"/>
      <w:widowControl/>
    </w:pPr>
    <w:rPr>
      <w:b/>
      <w:smallCaps/>
      <w:sz w:val="24"/>
    </w:rPr>
  </w:style>
  <w:style w:type="paragraph" w:styleId="MWhang3">
    <w:name w:val="MWhang3"/>
    <w:basedOn w:val="Normal"/>
    <w:qFormat/>
    <w:pPr>
      <w:widowControl/>
      <w:suppressAutoHyphens w:val="true"/>
      <w:spacing w:before="0" w:after="240"/>
      <w:ind w:hanging="720" w:start="2160" w:end="0"/>
    </w:pPr>
    <w:rPr>
      <w:rFonts w:ascii="Times New Roman" w:hAnsi="Times New Roman" w:cs="Times New Roman"/>
      <w:sz w:val="24"/>
    </w:rPr>
  </w:style>
  <w:style w:type="paragraph" w:styleId="MWNum13j">
    <w:name w:val="MWNum13j"/>
    <w:basedOn w:val="Normal"/>
    <w:qFormat/>
    <w:pPr>
      <w:widowControl/>
      <w:numPr>
        <w:ilvl w:val="0"/>
        <w:numId w:val="2"/>
      </w:numPr>
      <w:tabs>
        <w:tab w:val="clear" w:pos="720"/>
      </w:tabs>
      <w:spacing w:before="0" w:after="240"/>
      <w:jc w:val="both"/>
    </w:pPr>
    <w:rPr>
      <w:rFonts w:ascii="Times New Roman" w:hAnsi="Times New Roman" w:cs="Times New Roman"/>
      <w:sz w:val="24"/>
    </w:rPr>
  </w:style>
  <w:style w:type="paragraph" w:styleId="PlainText">
    <w:name w:val="Plain Text"/>
    <w:basedOn w:val="Normal"/>
    <w:qFormat/>
    <w:pPr>
      <w:widowControl/>
      <w:spacing w:before="0" w:after="0"/>
    </w:pPr>
    <w:rPr>
      <w:rFonts w:ascii="Courier New" w:hAnsi="Courier New" w:cs="Courier New"/>
    </w:rPr>
  </w:style>
  <w:style w:type="paragraph" w:styleId="BodyText3">
    <w:name w:val="Body Text 3"/>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2000-06-06T01:56:00Z</dcterms:created>
  <dc:creator>Koch Ind</dc:creator>
  <dc:description/>
  <dc:language>en-CA</dc:language>
  <cp:lastModifiedBy>Rae Mcquade</cp:lastModifiedBy>
  <cp:lastPrinted>2000-03-23T15:22:00Z</cp:lastPrinted>
  <dcterms:modified xsi:type="dcterms:W3CDTF">2000-06-06T01:56:00Z</dcterms:modified>
  <cp:revision>2</cp:revision>
  <dc:subject/>
  <dc:title>Business Practices Subcommittee</dc:title>
</cp:coreProperties>
</file>