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5"/>
        <w:rPr/>
      </w:pPr>
      <w:r>
        <w:rPr/>
        <w:t>Enron Broadband Services</w:t>
      </w:r>
    </w:p>
    <w:p>
      <w:pPr>
        <w:pStyle w:val="Heading5"/>
        <w:rPr/>
      </w:pPr>
      <w:r>
        <w:rPr/>
        <w:t>Executive Biographies</w:t>
      </w:r>
    </w:p>
    <w:p>
      <w:pPr>
        <w:pStyle w:val="Normal"/>
        <w:rPr/>
      </w:pPr>
      <w:r>
        <w:rPr/>
      </w:r>
    </w:p>
    <w:p>
      <w:pPr>
        <w:pStyle w:val="Heading3"/>
        <w:ind w:hanging="0" w:start="0"/>
        <w:rPr/>
      </w:pPr>
      <w:r>
        <w:rPr/>
        <w:t xml:space="preserve">            </w:t>
      </w:r>
      <w:r>
        <w:rPr/>
        <w:t>Revised as of September 21, 2000</w:t>
      </w:r>
    </w:p>
    <w:p>
      <w:pPr>
        <w:pStyle w:val="Heading1"/>
        <w:rPr/>
      </w:pPr>
      <w:r>
        <w:rPr/>
        <w:t>Ken Rice,</w:t>
        <w:br/>
      </w:r>
      <w:r>
        <w:rPr>
          <w:i w:val="false"/>
          <w:iCs/>
        </w:rPr>
        <w:t>Chief Commercial Officer</w:t>
      </w:r>
    </w:p>
    <w:p>
      <w:pPr>
        <w:pStyle w:val="BodyText"/>
        <w:rPr/>
      </w:pPr>
      <w:r>
        <w:rPr/>
        <w:t>Ken Rice is Chief Commercial Officer of Enron Broadband Services, where he oversees all commercial departments within the company including application delivery services and bandwidth intermediation services.  Mr. Rice leads EBS’s pioneering development of cash and forward markets for bandwidth to enable the trading of bandwidth as a commodity, as well as the company’s dark fiber and ISP sales channels. Prior to joining Enron Broadband Services, Ken was Chairman and CEO of Enron Capital &amp; Trade Resources, the largest and most diverse energy merchant in North America. He was instrumental in the development, growth, and management of Enron’s non-regulated natural gas and electric power merchant activities. Ken began his career in the energy industry in 1980 as a project engineer with InterNorth, one of the pipeline companies, which merged to form Enron in 1985. Ken received a bachelor’s of science degree in electrical engineering from the University of Nebraska in 1980, and a M.B.A. from Creighton University in 1984.</w:t>
      </w:r>
    </w:p>
    <w:p>
      <w:pPr>
        <w:pStyle w:val="Heading1"/>
        <w:rPr/>
      </w:pPr>
      <w:r>
        <w:rPr/>
        <w:t>Kevin Hannon,</w:t>
      </w:r>
    </w:p>
    <w:p>
      <w:pPr>
        <w:pStyle w:val="Heading8"/>
        <w:rPr/>
      </w:pPr>
      <w:r>
        <w:rPr/>
        <w:t>Chief Operating Officer</w:t>
      </w:r>
    </w:p>
    <w:p>
      <w:pPr>
        <w:pStyle w:val="BodyText"/>
        <w:rPr/>
      </w:pPr>
      <w:r>
        <w:rPr/>
        <w:t xml:space="preserve">Kevin Hannon is newly appointed Chief Operating Officer for Enron Broadband Services.  He was formerly Chairman and CEO of Enron Global Risk Management, where he focused his efforts on building a successful bandwidth intermediation business for Enron, and providing global risk management oversight.  Prior to this position, Mr. Hannon was President and Chief Operating Officer for Enron North America Corp.  In this division, Mr. Hannon was responsible for all domestic merchant energy activities in the deregulated natural gas and electricity markets, including: trading, risk management, finance, and asset development/operation.  Kevin also directed the development and integration into Enron North America of the following business units from their emergence: paper and pulp, emissions, coal and weather derivatives.  As President of Enron Capital and Trade Commodity and Trade Services, Mr. Hannon was responsible for global risk management, Enron’s commodity and interest rate positions worldwide, and risk management for domestic natural gas and electricity.  Kevin has also served as Senior Risk manager for Enron Power Trading and Transmission, where he was instrumental in the initial development of Enron’s electricity trading and marketing strategies.  Before joining Enron, Mr. Hannon was risk manager for Banker’s Trust natural gas trading operation. He holds a Bachelor of Arts degree in Economics from LeMoyne College as well as an MBA from Cornell University.  </w:t>
      </w:r>
    </w:p>
    <w:p>
      <w:pPr>
        <w:pStyle w:val="Normal"/>
        <w:rPr>
          <w:sz w:val="22"/>
        </w:rPr>
      </w:pPr>
      <w:r>
        <w:rPr>
          <w:sz w:val="22"/>
        </w:rPr>
      </w:r>
    </w:p>
    <w:p>
      <w:pPr>
        <w:pStyle w:val="Normal"/>
        <w:ind w:start="720" w:end="0"/>
        <w:rPr>
          <w:sz w:val="22"/>
        </w:rPr>
      </w:pPr>
      <w:r>
        <w:rPr>
          <w:sz w:val="22"/>
        </w:rPr>
      </w:r>
    </w:p>
    <w:p>
      <w:pPr>
        <w:pStyle w:val="BodyText"/>
        <w:rPr>
          <w:b/>
          <w:sz w:val="26"/>
        </w:rPr>
      </w:pPr>
      <w:r>
        <w:rPr>
          <w:rFonts w:cs="Arial" w:ascii="Arial" w:hAnsi="Arial"/>
          <w:b/>
          <w:i/>
          <w:sz w:val="26"/>
        </w:rPr>
        <w:t>Rex Shelby,</w:t>
      </w:r>
      <w:r>
        <w:rPr>
          <w:b/>
          <w:i/>
          <w:sz w:val="26"/>
        </w:rPr>
        <w:br/>
      </w:r>
      <w:r>
        <w:rPr>
          <w:rFonts w:cs="Arial" w:ascii="Arial" w:hAnsi="Arial"/>
          <w:b/>
          <w:sz w:val="26"/>
        </w:rPr>
        <w:t>President, Technology and Operations</w:t>
      </w:r>
    </w:p>
    <w:p>
      <w:pPr>
        <w:pStyle w:val="BodyText"/>
        <w:rPr/>
      </w:pPr>
      <w:r>
        <w:rPr/>
        <w:t>Before joining Enron Broadband Services, formerly Enron Communications, Mr. Shelby was the founder and CEO of Modulus Technologies, a software company acquired by Enron Communications.  In addition to advanced software technology, the Modulus acquisition brought to Enron a range of technology experience and working relationships with a number of communications, hardware, and software companies.  Before Modulus, Rex was a partner in McKinsey &amp; Company where he served a number of Global 1000 companies and helped to build that firm's worldwide Information Technology consulting practice.  Rex has also been the CEO of Shelby Jones &amp; Company, a technology firm he co-founded and the Partner-In-Charge of the Southern Region for The Information Consulting Group (ICG).  Rex brings close to 20 years of technology experience to Enron Broadband Services, along with a range of experience in partnering with technology companies.</w:t>
      </w:r>
    </w:p>
    <w:p>
      <w:pPr>
        <w:pStyle w:val="Heading1"/>
        <w:rPr/>
      </w:pPr>
      <w:r>
        <w:rPr/>
        <w:t>Steve Elliott,</w:t>
        <w:br/>
      </w:r>
      <w:r>
        <w:rPr>
          <w:i w:val="false"/>
        </w:rPr>
        <w:t>Managing Director, EBS Europe</w:t>
      </w:r>
    </w:p>
    <w:p>
      <w:pPr>
        <w:pStyle w:val="BodyText"/>
        <w:rPr/>
      </w:pPr>
      <w:r>
        <w:rPr/>
        <w:t>Mr. Elliott leads the expansion of Enron Broadband Services’ physical network both domestically and internationally.  He oversees all aspects of business development, physical construction and network service implementation.  Prior to his role in leading Global Network Development, Mr. Elliott joined Enron Broadband Services, formerly Enron Communications in 1998 as Senior Vice President and Chief Financial Officer with responsibility for the technology acquisition strategy and daily financial operations and strategy development.  Prior to joining Enron, Mr. Elliott has held a variety of positions within Portland General Corporation, an electric utility holding company, most recently as Vice President and Chief Financial Officer. Steve served as Manager of Project Finance for five years at Morrison-Knudsen Corporation in Boise, Idaho, before moving to Portland General Corporation. He holds a BA degree in Finance and Economics and an MBA in Finance.</w:t>
      </w:r>
    </w:p>
    <w:p>
      <w:pPr>
        <w:pStyle w:val="Heading1"/>
        <w:rPr/>
      </w:pPr>
      <w:r>
        <w:rPr/>
        <w:t>Scott Yeager,</w:t>
        <w:br/>
      </w:r>
      <w:r>
        <w:rPr>
          <w:i w:val="false"/>
        </w:rPr>
        <w:t>President, Strategic Development</w:t>
      </w:r>
    </w:p>
    <w:p>
      <w:pPr>
        <w:pStyle w:val="BodyText"/>
        <w:rPr/>
      </w:pPr>
      <w:r>
        <w:rPr/>
        <w:t xml:space="preserve">Mr. Yeager is Senior Vice President of Strategic Development for Enron Broadband Services, in addition he serves on the Board of Directors of Charter Communications.  He recently co-founded FYI-Net, Inc., a multi-media content provider that uses the latest technology and the Internet to provide a creative solution for marketing, sales and training with corporations.  In 1981, he founded YSA Inc., a systems integrator of fiber optic systems, which was the foundation for Network Communications, Inc. (NCI) the first competitive fiber optic network in Texas. In 1989, after MFS purchased NCI, he built the MFS Houston network and was instrumental in the role MFS played in developing the competitive local-exchange-carrier market.  In 1991, Scott deployed the industries first high-speed Data-Networking services over the MFS fiber infrastructure.  In 1992, Scott became Vice President of Sales for MFS Datanet, which contributed to the eventual 14 billion-dollar market cap valuation for MFS paid by WorldCom in 1996.  At WorldCom, he served as Vice President of Business Development. </w:t>
      </w:r>
    </w:p>
    <w:p>
      <w:pPr>
        <w:pStyle w:val="Heading1"/>
        <w:rPr/>
      </w:pPr>
      <w:r>
        <w:rPr/>
        <w:t>Jim Crowder,</w:t>
        <w:br/>
      </w:r>
      <w:r>
        <w:rPr>
          <w:i w:val="false"/>
          <w:iCs/>
        </w:rPr>
        <w:t>Vice President, Strategic Alliances</w:t>
      </w:r>
    </w:p>
    <w:p>
      <w:pPr>
        <w:pStyle w:val="BodyTextIndent3"/>
        <w:widowControl w:val="false"/>
        <w:rPr/>
      </w:pPr>
      <w:r>
        <w:rPr/>
        <w:t xml:space="preserve">As Vice President, Strategic Alliances, Mr. Crowder and his team are responsible for building </w:t>
      </w:r>
      <w:r>
        <w:rPr>
          <w:color w:val="000000"/>
        </w:rPr>
        <w:t>alliances with the world’s leading technology companies—including Cisco, Sun Microsystems, Level 3, and IBM—thereby furthering and strengthening Enron Broadband Services’ transformational architecture and business model geared towards driving broadband services across an internet infrastructure.  Mr. Crowder joined Enron Broadband Services, formerly Enron Communications in November 1997, as the result of Enron’s acquisition of OPTEC, Inc., an Internet consulting and engineering firm that he headed at the time. Mr. Crowder, as president of OPTEC, and his team brought to Enron an expert understanding of the enterprise, and their requirements of network infrastructures designed to support mission critical applications.  Mr. Crowder’s industry background includes vast executive-level experience and entrepreneurial energy within technology startups, and within the emerging divisions of more established technology firms.  Earlier in his career, he was recruited by GTE to become General Manager of its newly formed Integrated Information Systems Division in the Northwest region, where he developed a business model and plan to provide WAN/LAN design and integration services to the enterprise.  He was able to fast track the planning and recruitment phase to build a team of sales, engineering, operations, contract management, business implementation and consulting professionals. His team development and leadership skills were also honed at Wang Labs, where Mr. Crowder served as National Account Manager prior to joining GTE.   There, he led teams in converting applications residing on IBM Mainframes to distributed computing platforms.  Mr. Crowder has served on several advisory groups formed to provide input to Information Technology companies on a variety of critical topics ranging from input on new products to program design and definition.</w:t>
      </w:r>
    </w:p>
    <w:p>
      <w:pPr>
        <w:pStyle w:val="BodyTextIndent3"/>
        <w:widowControl w:val="false"/>
        <w:rPr>
          <w:color w:val="000000"/>
        </w:rPr>
      </w:pPr>
      <w:r>
        <w:rPr>
          <w:color w:val="000000"/>
        </w:rPr>
      </w:r>
    </w:p>
    <w:p>
      <w:pPr>
        <w:pStyle w:val="BodyTextIndent3"/>
        <w:widowControl w:val="false"/>
        <w:rPr>
          <w:color w:val="000000"/>
        </w:rPr>
      </w:pPr>
      <w:r>
        <w:rPr>
          <w:color w:val="000000"/>
        </w:rPr>
      </w:r>
    </w:p>
    <w:p>
      <w:pPr>
        <w:pStyle w:val="Normal"/>
        <w:widowControl w:val="false"/>
        <w:ind w:start="720" w:end="0"/>
        <w:rPr/>
      </w:pPr>
      <w:r>
        <w:rPr>
          <w:rFonts w:cs="Arial" w:ascii="Arial" w:hAnsi="Arial"/>
          <w:b/>
          <w:i/>
          <w:sz w:val="26"/>
        </w:rPr>
        <w:t>E. Ted Seitz,</w:t>
        <w:br/>
      </w:r>
      <w:r>
        <w:rPr>
          <w:rFonts w:cs="Arial" w:ascii="Arial" w:hAnsi="Arial"/>
          <w:b/>
          <w:sz w:val="26"/>
        </w:rPr>
        <w:t>Vice President, Global Network Commerce</w:t>
      </w:r>
    </w:p>
    <w:p>
      <w:pPr>
        <w:pStyle w:val="BodyText"/>
        <w:rPr/>
      </w:pPr>
      <w:r>
        <w:rPr/>
        <w:t>Appointed Vice President, Network Commerce in July 1999, Mr. Seitz is now responsible for all sales revenue streams associated with Enron Broadband Services’ Advanced Fiber Transport Solutions’ offerings, dark fiber leasing, and bandwidth trading.  Mr. Seitz joined Enron Communications, now Enron Broadband Services, as a founding employee in December 1996. He held the position of Vice President of Sales through July 1999, and successfully led all EBS sales efforts.  Mr. Seitz accumulated 10 years of sales management experience, knowledge, and business relationships in the communications industry prior to joining Enron.  He previously held the positions of Director of Wholesale at GST Telecommunications, Wholesale National Accounts Manager at Electric Lightwave, and Western Regional Sales Manager at Allnet. Mr. Seitz holds a Bachelor’s Degree in Communications.</w:t>
      </w:r>
    </w:p>
    <w:p>
      <w:pPr>
        <w:pStyle w:val="BodyText"/>
        <w:rPr/>
      </w:pPr>
      <w:r>
        <w:rPr/>
      </w:r>
    </w:p>
    <w:p>
      <w:pPr>
        <w:pStyle w:val="Normal"/>
        <w:spacing w:lineRule="atLeast" w:line="240"/>
        <w:ind w:firstLine="720" w:end="0"/>
        <w:rPr>
          <w:rFonts w:ascii="Arial" w:hAnsi="Arial" w:cs="Arial"/>
          <w:b/>
          <w:i/>
          <w:i/>
          <w:color w:val="000000"/>
          <w:sz w:val="26"/>
        </w:rPr>
      </w:pPr>
      <w:r>
        <w:rPr>
          <w:rFonts w:cs="Arial" w:ascii="Arial" w:hAnsi="Arial"/>
          <w:b/>
          <w:i/>
          <w:color w:val="000000"/>
          <w:sz w:val="26"/>
        </w:rPr>
        <w:t>Matt Harris,</w:t>
      </w:r>
    </w:p>
    <w:p>
      <w:pPr>
        <w:pStyle w:val="Normal"/>
        <w:keepNext w:val="true"/>
        <w:spacing w:lineRule="atLeast" w:line="240"/>
        <w:ind w:firstLine="720" w:end="0"/>
        <w:rPr>
          <w:rFonts w:ascii="Arial" w:hAnsi="Arial" w:cs="Arial"/>
          <w:b/>
          <w:color w:val="000000"/>
          <w:sz w:val="26"/>
        </w:rPr>
      </w:pPr>
      <w:r>
        <w:rPr>
          <w:rFonts w:cs="Arial" w:ascii="Arial" w:hAnsi="Arial"/>
          <w:b/>
          <w:color w:val="000000"/>
          <w:sz w:val="26"/>
        </w:rPr>
        <w:t>Vice President, Enterprise Services</w:t>
      </w:r>
    </w:p>
    <w:p>
      <w:pPr>
        <w:pStyle w:val="Normal"/>
        <w:spacing w:lineRule="atLeast" w:line="240"/>
        <w:ind w:start="720" w:end="0"/>
        <w:rPr/>
      </w:pPr>
      <w:r>
        <w:rPr>
          <w:sz w:val="22"/>
        </w:rPr>
        <w:t>As Vice President of Enterprise Services, Mr. Harris is tasked with leading the marketing and sales of bandwidth management services and broadband applications to Fortune 1000 companies. Prior to his role as Vice President of Enterprise Services, Mr. Harris held the positions of Director of Financial Services and Director of Market and Channel Development, where his responsibilities included the development of new market opportunities afforded by Enron’s application delivery services and tools. Before joining Enron Broadband Services, Matt utilized his extensive Internet technology experience with Netscape Communications to develop multi-million dollar technology licensing initiatives; and with The Boston Consulting Group and General Electric (a participant in GE’s esteemed management training programs). Matt received his MBA from Stanford University and holds Engineering and Psychology degrees from Cornell University</w:t>
      </w:r>
      <w:r>
        <w:rPr>
          <w:color w:val="000000"/>
          <w:sz w:val="22"/>
        </w:rPr>
        <w:t>.</w:t>
      </w:r>
    </w:p>
    <w:p>
      <w:pPr>
        <w:pStyle w:val="Heading1"/>
        <w:rPr/>
      </w:pPr>
      <w:r>
        <w:rPr/>
        <w:t>April Hodgson,</w:t>
      </w:r>
    </w:p>
    <w:p>
      <w:pPr>
        <w:pStyle w:val="Heading2"/>
        <w:ind w:hanging="0" w:start="720" w:end="0"/>
        <w:rPr/>
      </w:pPr>
      <w:r>
        <w:rPr/>
        <w:t>Vice President, Media Services</w:t>
      </w:r>
    </w:p>
    <w:p>
      <w:pPr>
        <w:pStyle w:val="BodyText"/>
        <w:rPr/>
      </w:pPr>
      <w:r>
        <w:rPr/>
        <w:t>As Vice President of the Media Services Division, Ms. Hodgson is responsible for managing the marketing and strategic development of the sales and channel management teams.   For the past year, prior to becoming the Vice President of Media Services for Enron Broadband Services, April served as a consultant to the Media and Entertainment group.  Most recently, Ms. Hodgson co-founded Insight Telecommunications Corporation, a privately held company that provides domestic and international transmission solutions for the broadcast industry.  April has accumulated over 15 years of sales management experience, in the fields of broadcasting and telecommunications.  She previously held the positions of Senior Vice President, of U.S. sales for GlobeCast North America/France Telecom and Director of Sales for Vyvx/Williams Communications.  Ms. Hodgson graduated from the University of Pittsburgh with a BA in Speech and Communication.</w:t>
      </w:r>
    </w:p>
    <w:p>
      <w:pPr>
        <w:pStyle w:val="Normal"/>
        <w:spacing w:lineRule="atLeast" w:line="240"/>
        <w:ind w:firstLine="720" w:end="0"/>
        <w:rPr>
          <w:rFonts w:ascii="Arial" w:hAnsi="Arial" w:cs="Arial"/>
          <w:b/>
          <w:i/>
          <w:i/>
          <w:color w:val="000000"/>
          <w:sz w:val="26"/>
        </w:rPr>
      </w:pPr>
      <w:r>
        <w:rPr>
          <w:rFonts w:cs="Arial" w:ascii="Arial" w:hAnsi="Arial"/>
          <w:b/>
          <w:i/>
          <w:color w:val="000000"/>
          <w:sz w:val="26"/>
        </w:rPr>
      </w:r>
    </w:p>
    <w:p>
      <w:pPr>
        <w:pStyle w:val="Normal"/>
        <w:spacing w:lineRule="atLeast" w:line="240"/>
        <w:ind w:firstLine="720" w:end="0"/>
        <w:rPr>
          <w:rFonts w:ascii="Arial" w:hAnsi="Arial" w:cs="Arial"/>
          <w:b/>
          <w:i/>
          <w:i/>
          <w:color w:val="000000"/>
          <w:sz w:val="26"/>
        </w:rPr>
      </w:pPr>
      <w:r>
        <w:rPr>
          <w:rFonts w:cs="Arial" w:ascii="Arial" w:hAnsi="Arial"/>
          <w:b/>
          <w:i/>
          <w:color w:val="000000"/>
          <w:sz w:val="26"/>
        </w:rPr>
        <w:t>John Bloomer,</w:t>
      </w:r>
    </w:p>
    <w:p>
      <w:pPr>
        <w:pStyle w:val="Heading7"/>
        <w:ind w:firstLine="720" w:start="0" w:end="0"/>
        <w:rPr>
          <w:rFonts w:ascii="Courier" w:hAnsi="Courier" w:cs="Courier"/>
          <w:sz w:val="18"/>
        </w:rPr>
      </w:pPr>
      <w:r>
        <w:rPr/>
        <w:t xml:space="preserve">Vice President, Product Development </w:t>
      </w:r>
    </w:p>
    <w:p>
      <w:pPr>
        <w:pStyle w:val="BodyText"/>
        <w:rPr/>
      </w:pPr>
      <w:r>
        <w:rPr/>
        <w:t>John started his career at GE designing very large-scale integrated circuits and embedded systems.  With his next move to GE's Research and Development Center, he led a wide-range of applied research projects, using intellectual capital to claim advantages in markets such as medical imaging and distributed control systems.  In the mid-90's, as CTO/VP of NBC Cable's Desktop Video ventures, his team helped build one of the first commercially-viable, IP multicast distribution systems.  In his tenure with GE, John has led marketing and technology teams in both established businesses and new ventures.  Prior to his position with Enron Broadband Services, as VP of Media Services, John was Sr. VP/CIO of Colonial Penn Insurance, a recently-acquired GE Financial Assurance company that sells insurance products directly through call centers and over the Web.  He has undergraduate and graduate degrees in EE and computer science.</w:t>
      </w:r>
    </w:p>
    <w:p>
      <w:pPr>
        <w:pStyle w:val="Heading1"/>
        <w:rPr/>
      </w:pPr>
      <w:r>
        <w:rPr/>
        <w:t>Kevin Kohnstamm,</w:t>
      </w:r>
      <w:r>
        <w:rPr>
          <w:i w:val="false"/>
        </w:rPr>
        <w:br/>
      </w:r>
      <w:r>
        <w:rPr>
          <w:i w:val="false"/>
          <w:iCs/>
        </w:rPr>
        <w:t>Vice President, Network Development European Division</w:t>
      </w:r>
    </w:p>
    <w:p>
      <w:pPr>
        <w:pStyle w:val="BodyText"/>
        <w:rPr/>
      </w:pPr>
      <w:r>
        <w:rPr/>
        <w:t>Mr. Kohnstamm has been with Enron Broadband Services since March of 1997 and is one of the first ten employees of the company.  A graduate of Columbia University in 1983, he has more than ten years of experience in construction management and regulatory issues. Kevin is responsible for network development functions in North America and Europe including site locating for builds, negotiating build agreements, acquiring right-of-way permits other additional fiber construction activities.  Prior to joining Enron, Kevin was the City of Portland’s project manager for the construction of the Rose Garden, a $260 million, 20,000-seat sports arena that was a joint venture between Paul Allen and the City of Portland and is home to the NBA’s Portland Trailblazers.  Previously, he served the City of Portland as Development Liaison and Capital Improvements Manager for the Office of Transportation.  In these roles, he experienced all facets of the development and regulatory process as they relate to public right of way.</w:t>
      </w:r>
    </w:p>
    <w:p>
      <w:pPr>
        <w:pStyle w:val="Heading1"/>
        <w:rPr/>
      </w:pPr>
      <w:r>
        <w:rPr/>
        <w:t>David Leatherwood</w:t>
      </w:r>
    </w:p>
    <w:p>
      <w:pPr>
        <w:pStyle w:val="Heading9"/>
        <w:rPr>
          <w:sz w:val="26"/>
        </w:rPr>
      </w:pPr>
      <w:r>
        <w:rPr>
          <w:sz w:val="26"/>
        </w:rPr>
        <w:t>Vice President, Network Construction</w:t>
      </w:r>
    </w:p>
    <w:p>
      <w:pPr>
        <w:pStyle w:val="Normal"/>
        <w:ind w:start="720" w:end="0"/>
        <w:rPr>
          <w:sz w:val="22"/>
        </w:rPr>
      </w:pPr>
      <w:r>
        <w:rPr>
          <w:sz w:val="22"/>
        </w:rPr>
        <w:t>Mr. Leatherwood, is one of the founders of Enron Communications now Enron Broadband Services.  Prior to joining Enron Broadband Services, he worked for Tektronix serving in various business development and management roles in engineering and marketing of microwave and optical communications test equipment.  He holds a bachelor’s degree in electrical engineering from the University of Houston and  master’s degree in business administration from the University of Portland.</w:t>
      </w:r>
    </w:p>
    <w:p>
      <w:pPr>
        <w:pStyle w:val="Heading1"/>
        <w:rPr/>
      </w:pPr>
      <w:r>
        <w:rPr/>
        <w:t>Scott Bolton,</w:t>
      </w:r>
    </w:p>
    <w:p>
      <w:pPr>
        <w:pStyle w:val="Heading2"/>
        <w:ind w:hanging="0" w:start="720" w:end="0"/>
        <w:rPr/>
      </w:pPr>
      <w:r>
        <w:rPr/>
        <w:t xml:space="preserve">Director, Government &amp; </w:t>
      </w:r>
      <w:r>
        <w:rPr>
          <w:sz w:val="22"/>
        </w:rPr>
        <w:t>Regulatory</w:t>
      </w:r>
      <w:r>
        <w:rPr/>
        <w:t xml:space="preserve"> Affairs</w:t>
      </w:r>
    </w:p>
    <w:p>
      <w:pPr>
        <w:pStyle w:val="BodyText"/>
        <w:rPr/>
      </w:pPr>
      <w:r>
        <w:rPr/>
        <w:t>As Director of Government and Regulatory Affairs for Enron Broadband Services, Mr. Bolton manages public policy development for EBS.  He oversees all aspects of government outreach and regulatory compliance.  Prior to joining Enron Broadband Services, Scott worked for US Senator Ron Wyden for 5-1/2 years as a field representative working on such diverse issues as: economic development, Telecom, and national defense.  Mr. Bolton holds a BS in Political Science from Portland State University.  Scott also served in the US Army from 1989-1992.</w:t>
      </w:r>
    </w:p>
    <w:p>
      <w:pPr>
        <w:pStyle w:val="BodyText"/>
        <w:rPr/>
      </w:pPr>
      <w:r>
        <w:rPr/>
      </w:r>
    </w:p>
    <w:p>
      <w:pPr>
        <w:pStyle w:val="BodyText"/>
        <w:rPr/>
      </w:pPr>
      <w:r>
        <w:rPr/>
      </w:r>
    </w:p>
    <w:p>
      <w:pPr>
        <w:pStyle w:val="BodyText"/>
        <w:rPr/>
      </w:pPr>
      <w:r>
        <w:rPr/>
      </w:r>
    </w:p>
    <w:p>
      <w:pPr>
        <w:pStyle w:val="Normal"/>
        <w:jc w:val="center"/>
        <w:rPr>
          <w:sz w:val="22"/>
        </w:rPr>
      </w:pPr>
      <w:r>
        <w:rPr>
          <w:sz w:val="22"/>
        </w:rPr>
        <w:t>##</w:t>
      </w:r>
    </w:p>
    <w:p>
      <w:pPr>
        <w:pStyle w:val="Normal"/>
        <w:rPr>
          <w:sz w:val="22"/>
        </w:rPr>
      </w:pPr>
      <w:r>
        <w:rPr>
          <w:sz w:val="22"/>
        </w:rPr>
      </w:r>
    </w:p>
    <w:p>
      <w:pPr>
        <w:pStyle w:val="Normal"/>
        <w:rPr>
          <w:sz w:val="22"/>
        </w:rPr>
      </w:pPr>
      <w:r>
        <w:rPr>
          <w:sz w:val="22"/>
        </w:rPr>
      </w:r>
    </w:p>
    <w:p>
      <w:pPr>
        <w:pStyle w:val="Normal"/>
        <w:rPr/>
      </w:pPr>
      <w:r>
        <w:rPr/>
      </w:r>
    </w:p>
    <w:p>
      <w:pPr>
        <w:pStyle w:val="Normal"/>
        <w:spacing w:lineRule="atLeast" w:line="240"/>
        <w:rPr>
          <w:rFonts w:ascii="Tms Rmn" w:hAnsi="Tms Rmn" w:cs="Tms Rmn"/>
          <w:sz w:val="24"/>
        </w:rPr>
      </w:pPr>
      <w:r>
        <w:rPr>
          <w:rFonts w:cs="Tms Rmn" w:ascii="Tms Rmn" w:hAnsi="Tms Rmn"/>
          <w:sz w:val="24"/>
        </w:rPr>
      </w:r>
    </w:p>
    <w:p>
      <w:pPr>
        <w:pStyle w:val="Heading1"/>
        <w:rPr>
          <w:rFonts w:ascii="Tms Rmn" w:hAnsi="Tms Rmn" w:cs="Tms Rmn"/>
          <w:sz w:val="24"/>
        </w:rPr>
      </w:pPr>
      <w:r>
        <w:rPr>
          <w:rFonts w:cs="Tms Rmn" w:ascii="Tms Rmn" w:hAnsi="Tms Rmn"/>
          <w:sz w:val="24"/>
        </w:rPr>
      </w:r>
    </w:p>
    <w:p>
      <w:pPr>
        <w:pStyle w:val="Heading1"/>
        <w:rPr/>
      </w:pPr>
      <w:r>
        <w:rPr/>
      </w:r>
    </w:p>
    <w:p>
      <w:pPr>
        <w:pStyle w:val="Heading1"/>
        <w:rPr/>
      </w:pPr>
      <w:r>
        <w:rPr/>
      </w:r>
    </w:p>
    <w:p>
      <w:pPr>
        <w:pStyle w:val="BodyTextIndent3"/>
        <w:widowControl w:val="false"/>
        <w:rPr/>
      </w:pPr>
      <w:r>
        <w:rPr/>
      </w:r>
    </w:p>
    <w:p>
      <w:pPr>
        <w:pStyle w:val="BodyTextIndent3"/>
        <w:widowControl w:val="false"/>
        <w:rPr/>
      </w:pPr>
      <w:r>
        <w:rPr/>
      </w:r>
    </w:p>
    <w:sectPr>
      <w:type w:val="nextPage"/>
      <w:pgSz w:w="12240" w:h="15840"/>
      <w:pgMar w:left="1440" w:right="1440" w:gutter="0" w:header="0" w:top="1260" w:footer="0" w:bottom="90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 w:name="Tms Rmn">
    <w:altName w:val="Times New Roman"/>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widowControl w:val="false"/>
      <w:numPr>
        <w:ilvl w:val="0"/>
        <w:numId w:val="1"/>
      </w:numPr>
      <w:tabs>
        <w:tab w:val="clear" w:pos="720"/>
        <w:tab w:val="left" w:pos="5490" w:leader="none"/>
      </w:tabs>
      <w:spacing w:before="240" w:after="60"/>
      <w:ind w:hanging="0" w:start="720" w:end="0"/>
      <w:outlineLvl w:val="0"/>
    </w:pPr>
    <w:rPr>
      <w:rFonts w:ascii="Arial" w:hAnsi="Arial" w:cs="Arial"/>
      <w:b/>
      <w:i/>
      <w:color w:val="000000"/>
      <w:sz w:val="26"/>
    </w:rPr>
  </w:style>
  <w:style w:type="paragraph" w:styleId="Heading2">
    <w:name w:val="heading 2"/>
    <w:basedOn w:val="Normal"/>
    <w:next w:val="Normal"/>
    <w:qFormat/>
    <w:pPr>
      <w:keepNext w:val="true"/>
      <w:numPr>
        <w:ilvl w:val="1"/>
        <w:numId w:val="1"/>
      </w:numPr>
      <w:outlineLvl w:val="1"/>
    </w:pPr>
    <w:rPr>
      <w:rFonts w:ascii="Arial" w:hAnsi="Arial" w:cs="Arial"/>
      <w:b/>
      <w:sz w:val="26"/>
    </w:rPr>
  </w:style>
  <w:style w:type="paragraph" w:styleId="Heading3">
    <w:name w:val="heading 3"/>
    <w:basedOn w:val="Normal"/>
    <w:next w:val="Normal"/>
    <w:qFormat/>
    <w:pPr>
      <w:keepNext w:val="true"/>
      <w:widowControl w:val="false"/>
      <w:numPr>
        <w:ilvl w:val="2"/>
        <w:numId w:val="1"/>
      </w:numPr>
      <w:jc w:val="center"/>
      <w:outlineLvl w:val="2"/>
    </w:pPr>
    <w:rPr>
      <w:b/>
      <w:sz w:val="22"/>
    </w:rPr>
  </w:style>
  <w:style w:type="paragraph" w:styleId="Heading4">
    <w:name w:val="heading 4"/>
    <w:basedOn w:val="Normal"/>
    <w:next w:val="Normal"/>
    <w:qFormat/>
    <w:pPr>
      <w:keepNext w:val="true"/>
      <w:numPr>
        <w:ilvl w:val="3"/>
        <w:numId w:val="1"/>
      </w:numPr>
      <w:spacing w:lineRule="atLeast" w:line="240" w:before="240" w:after="120"/>
      <w:ind w:hanging="0" w:start="720" w:end="0"/>
      <w:outlineLvl w:val="3"/>
    </w:pPr>
    <w:rPr>
      <w:rFonts w:ascii="Arial" w:hAnsi="Arial" w:cs="Arial"/>
      <w:b/>
      <w:color w:val="000000"/>
      <w:sz w:val="26"/>
    </w:rPr>
  </w:style>
  <w:style w:type="paragraph" w:styleId="Heading5">
    <w:name w:val="heading 5"/>
    <w:basedOn w:val="Normal"/>
    <w:next w:val="Normal"/>
    <w:qFormat/>
    <w:pPr>
      <w:keepNext w:val="true"/>
      <w:numPr>
        <w:ilvl w:val="4"/>
        <w:numId w:val="1"/>
      </w:numPr>
      <w:ind w:hanging="0" w:start="720" w:end="0"/>
      <w:jc w:val="center"/>
      <w:outlineLvl w:val="4"/>
    </w:pPr>
    <w:rPr>
      <w:rFonts w:ascii="Arial" w:hAnsi="Arial" w:cs="Arial"/>
      <w:b/>
      <w:sz w:val="28"/>
    </w:rPr>
  </w:style>
  <w:style w:type="paragraph" w:styleId="Heading6">
    <w:name w:val="heading 6"/>
    <w:basedOn w:val="Normal"/>
    <w:next w:val="Normal"/>
    <w:qFormat/>
    <w:pPr>
      <w:keepNext w:val="true"/>
      <w:numPr>
        <w:ilvl w:val="5"/>
        <w:numId w:val="1"/>
      </w:numPr>
      <w:ind w:firstLine="720" w:start="0" w:end="0"/>
      <w:outlineLvl w:val="5"/>
    </w:pPr>
    <w:rPr>
      <w:rFonts w:ascii="Arial" w:hAnsi="Arial" w:cs="Arial"/>
      <w:b/>
      <w:i/>
      <w:sz w:val="26"/>
    </w:rPr>
  </w:style>
  <w:style w:type="paragraph" w:styleId="Heading7">
    <w:name w:val="heading 7"/>
    <w:basedOn w:val="Normal"/>
    <w:next w:val="Normal"/>
    <w:qFormat/>
    <w:pPr>
      <w:keepNext w:val="true"/>
      <w:numPr>
        <w:ilvl w:val="6"/>
        <w:numId w:val="1"/>
      </w:numPr>
      <w:spacing w:lineRule="atLeast" w:line="240"/>
      <w:outlineLvl w:val="6"/>
    </w:pPr>
    <w:rPr>
      <w:rFonts w:ascii="Arial" w:hAnsi="Arial" w:cs="Arial"/>
      <w:b/>
      <w:color w:val="000000"/>
      <w:sz w:val="26"/>
    </w:rPr>
  </w:style>
  <w:style w:type="paragraph" w:styleId="Heading8">
    <w:name w:val="heading 8"/>
    <w:basedOn w:val="Normal"/>
    <w:next w:val="Normal"/>
    <w:qFormat/>
    <w:pPr>
      <w:keepNext w:val="true"/>
      <w:numPr>
        <w:ilvl w:val="7"/>
        <w:numId w:val="1"/>
      </w:numPr>
      <w:ind w:hanging="0" w:start="720" w:end="0"/>
      <w:outlineLvl w:val="7"/>
    </w:pPr>
    <w:rPr>
      <w:rFonts w:ascii="Arial" w:hAnsi="Arial" w:cs="Arial"/>
      <w:b/>
      <w:sz w:val="26"/>
    </w:rPr>
  </w:style>
  <w:style w:type="paragraph" w:styleId="Heading9">
    <w:name w:val="heading 9"/>
    <w:basedOn w:val="Normal"/>
    <w:next w:val="Normal"/>
    <w:qFormat/>
    <w:pPr>
      <w:keepNext w:val="true"/>
      <w:numPr>
        <w:ilvl w:val="8"/>
        <w:numId w:val="1"/>
      </w:numPr>
      <w:ind w:firstLine="720" w:start="0" w:end="0"/>
      <w:outlineLvl w:val="8"/>
    </w:pPr>
    <w:rPr>
      <w:rFonts w:ascii="Arial" w:hAnsi="Arial" w:cs="Arial"/>
      <w:b/>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ind w:hanging="0" w:start="720" w:end="0"/>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color w:val="000000"/>
      <w:sz w:val="24"/>
    </w:rPr>
  </w:style>
  <w:style w:type="paragraph" w:styleId="BodyTextIndent2">
    <w:name w:val="Body Text Indent 2"/>
    <w:basedOn w:val="Normal"/>
    <w:qFormat/>
    <w:pPr>
      <w:ind w:hanging="0" w:start="720" w:end="0"/>
    </w:pPr>
    <w:rPr>
      <w:color w:val="000000"/>
      <w:sz w:val="24"/>
    </w:rPr>
  </w:style>
  <w:style w:type="paragraph" w:styleId="BodyTextIndent3">
    <w:name w:val="Body Text Indent 3"/>
    <w:basedOn w:val="Normal"/>
    <w:qFormat/>
    <w:pPr>
      <w:ind w:hanging="0" w:start="720" w:end="0"/>
    </w:pPr>
    <w:rPr>
      <w:color w:val="000000"/>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2000-09-19T15:33:00Z</dcterms:created>
  <dc:creator>syni_brent</dc:creator>
  <dc:description/>
  <dc:language>en-CA</dc:language>
  <cp:lastModifiedBy>mreyna</cp:lastModifiedBy>
  <cp:lastPrinted>1999-11-08T10:27:00Z</cp:lastPrinted>
  <dcterms:modified xsi:type="dcterms:W3CDTF">2000-09-21T16:12:00Z</dcterms:modified>
  <cp:revision>5</cp:revision>
  <dc:subject/>
  <dc:title>Enron Communications, Inc</dc:title>
</cp:coreProperties>
</file>