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October 16, 2000</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Agrium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(f\k\a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Risk Management Corporation (ISDA Master Agreement dated November 22, 1993 was terminated effective June 21, 2000, and all transactions thereunder, have been transferred to the ISDA Master Agreement dated May 3, 2000 with Utilicorp United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Amoco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Gas Utility Ltd.  (ECC)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   (</w:t>
      </w:r>
      <w:r>
        <w:rPr>
          <w:rFonts w:cs="Times New Roman" w:ascii="Times New Roman" w:hAnsi="Times New Roman"/>
          <w:sz w:val="22"/>
          <w:u w:val="single"/>
        </w:rPr>
        <w:t>Newsprint commodity price swap and option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  (</w:t>
      </w:r>
      <w:r>
        <w:rPr>
          <w:rFonts w:cs="Times New Roman" w:ascii="Times New Roman" w:hAnsi="Times New Roman"/>
          <w:sz w:val="22"/>
          <w:u w:val="single"/>
        </w:rPr>
        <w:t>This agreement will not allow payment netting between FX, forward rate and all other Transactions under this agreement.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Bankers Trust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Bankers Trust Company (Enron GasBank,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Bayerische Hypo-Und Vereinsbank AG   (</w:t>
      </w:r>
      <w:r>
        <w:rPr>
          <w:rFonts w:cs="Times New Roman" w:ascii="Times New Roman" w:hAnsi="Times New Roman"/>
          <w:sz w:val="22"/>
          <w:u w:val="single"/>
        </w:rPr>
        <w:t>This agreement permits all transactions except commodity transactions per the Counterparty’s request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w:t>
      </w:r>
      <w:r>
        <w:rPr>
          <w:rFonts w:cs="Times New Roman" w:ascii="Times New Roman" w:hAnsi="Times New Roman"/>
          <w:sz w:val="22"/>
          <w:u w:val="single"/>
        </w:rPr>
        <w:t>All trades should be done under the Master Agreement with Enron Canada Corp.</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Range Resource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 (</w:t>
      </w:r>
      <w:r>
        <w:rPr>
          <w:rFonts w:cs="Times New Roman" w:ascii="Times New Roman" w:hAnsi="Times New Roman"/>
          <w:sz w:val="22"/>
          <w:u w:val="single"/>
        </w:rPr>
        <w:t>Need resolutions from Counterparty’s Board of Director’s prior to trading</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   (</w:t>
      </w:r>
      <w:r>
        <w:rPr>
          <w:rFonts w:cs="Times New Roman" w:ascii="Times New Roman" w:hAnsi="Times New Roman"/>
          <w:sz w:val="22"/>
          <w:u w:val="single"/>
        </w:rPr>
        <w:t>Agreement permits fixed price swaps, basis swaps, swing swaps and options only.   All other types of trades require prior consent of Counterparty’s Board of Directors.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Calpine Natural Gas Company, f/k/a Sheridan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Forest Oil Ltd. (f\k\a Saxon Petroleum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Cannat Resources Inc.   (f\k\a Sceptre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Classic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z w:val="22"/>
          <w:u w:val="single"/>
        </w:rPr>
        <w:t>This agreement covers interest rate, FX and curency and equity transactions only.   NO COMMODITY TRANSACTIONS</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Crestar Energy, Inc.</w:t>
      </w:r>
      <w:r>
        <w:rPr>
          <w:rFonts w:cs="Times New Roman" w:ascii="Times New Roman" w:hAnsi="Times New Roman"/>
          <w:b/>
          <w:sz w:val="22"/>
        </w:rPr>
        <w:t xml:space="preserve"> </w:t>
      </w:r>
      <w:r>
        <w:rPr>
          <w:rFonts w:cs="Times New Roman" w:ascii="Times New Roman" w:hAnsi="Times New Roman"/>
          <w:sz w:val="22"/>
        </w:rPr>
        <w:t>(f\k\a Grad &amp; Walker Energy Corporation) (Enron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Dynegy Canada Inc. (f\k\a Novagas Clearinghouse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Power Corp. (f\k\a Destec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Energy Inc.  (f\k\a Alberta Oil &amp; Gas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Energy Merchant-Gas Company (f/k/a El Paso Energy Marketing Company) – this entity’s master was assigned to El Paso Merchant Energy – Gas, L.P.   Therefore, the ISDA under No. 130 is the controlling master.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Energen Resources Corporation  (f\k\a Taurus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Canada, L.P.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US,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FPL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Falcon Creek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Industries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International  (ECT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HS Resources,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Howard Energy Marketing, L.L.C.  (f\k\a Howard/Avista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Irving Pulp &amp; Paper, Limited   (now ENA formerly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Jaguar Fund N.V.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James Hardie Australia Finance Pty. Limited</w:t>
      </w:r>
    </w:p>
    <w:p>
      <w:pPr>
        <w:pStyle w:val="Normal"/>
        <w:widowControl/>
        <w:jc w:val="both"/>
        <w:rPr/>
      </w:pPr>
      <w:r>
        <w:rPr>
          <w:rFonts w:cs="Times New Roman" w:ascii="Times New Roman" w:hAnsi="Times New Roman"/>
          <w:sz w:val="22"/>
        </w:rPr>
        <w:t>195.</w:t>
        <w:tab/>
        <w:t xml:space="preserve">Jefferson Smurfit Corporation (U.S.) </w:t>
      </w:r>
      <w:r>
        <w:rPr>
          <w:rFonts w:cs="Times New Roman" w:ascii="Times New Roman" w:hAnsi="Times New Roman"/>
          <w:i/>
          <w:iCs/>
          <w:sz w:val="22"/>
        </w:rPr>
        <w:t>[correction: name was incorrectly set forth as Jefferson Smurfit Corp. (U.S.)]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Jolliet Energy Resources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KCS Energy Marketing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ONEOK Energy Marketing and Trading Company, L.P. (f/n/a KN Marketing, L.P. (successor by assignment to KN Trading,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Special Financing Inc.   (</w:t>
      </w:r>
      <w:r>
        <w:rPr>
          <w:rFonts w:cs="Times New Roman" w:ascii="Times New Roman" w:hAnsi="Times New Roman"/>
          <w:sz w:val="22"/>
          <w:u w:val="single"/>
        </w:rPr>
        <w:t>This agreement permits weather, interest rate, FX and Currency Option transactions;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Markwest Hydrocarbon Inc.</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MeesPierson N.V. (n/k/a Fortis Bank (Nederland) N.V. – successor entity under a merger dated effective June 23, 2000)</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w:t>
      </w:r>
      <w:r>
        <w:rPr>
          <w:rFonts w:cs="Times New Roman" w:ascii="Times New Roman" w:hAnsi="Times New Roman"/>
          <w:sz w:val="22"/>
          <w:u w:val="single"/>
        </w:rPr>
        <w:t>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National Australia Bank Limited  (</w:t>
      </w:r>
      <w:r>
        <w:rPr>
          <w:rFonts w:cs="Times New Roman" w:ascii="Times New Roman" w:hAnsi="Times New Roman"/>
          <w:bCs/>
          <w:sz w:val="22"/>
          <w:u w:val="single"/>
        </w:rPr>
        <w:t>Interest rate, currency and foreign exchange transactions only  --- No commodity transactions</w:t>
      </w:r>
      <w:r>
        <w:rPr>
          <w:rFonts w:cs="Times New Roman" w:ascii="Times New Roman" w:hAnsi="Times New Roman"/>
          <w:b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Northrock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(ISDA Master Agreement with OXY USA Inc., dated December 1, 1993, and all transactions thereunder, have been assigned to Occidental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II (f/n/a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BHP Paribas (f/n/a Paribas) – (correction BHP Paribas should be BNP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(Enron Canada Corp.)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Pride International,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Prior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PSEG Energy Resources &amp; Trade LLC </w:t>
      </w:r>
      <w:r>
        <w:rPr>
          <w:rFonts w:cs="Times New Roman" w:ascii="Times New Roman" w:hAnsi="Times New Roman"/>
          <w:b/>
          <w:bCs/>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b/>
          <w:bCs/>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Scotland plc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Services, Inc. (n/k/a Statoil Energy Trading, Inc. – successor by assignment)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Stone Container Corporation </w:t>
      </w:r>
      <w:r>
        <w:rPr>
          <w:rFonts w:cs="Times New Roman" w:ascii="Times New Roman" w:hAnsi="Times New Roman"/>
          <w:i/>
          <w:iCs/>
          <w:sz w:val="22"/>
        </w:rPr>
        <w:t>[correction: name was incorrectly set forth as Stone Container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(Enron Canada Corp.) (Effective October 15, 1999, Highridge Exploration Ltd. was amalgamated with and into Talisman Energy, Inc., the surviving entity)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This agreement 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TransAlta Energy Marketing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 (</w:t>
      </w:r>
      <w:r>
        <w:rPr>
          <w:rFonts w:cs="Times New Roman" w:ascii="Times New Roman" w:hAnsi="Times New Roman"/>
          <w:sz w:val="22"/>
          <w:u w:val="single"/>
        </w:rPr>
        <w:t>Equity Derivatives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Utilicorp United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Vanguard Petroleum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Vitol Gas &amp; Electric LLC – this entity was merged into Avista Energy, Inc. (the surviving entity), for which we have master with, therefore, this master to be terminated.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Wasatch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(Netting of payments is only permitted for commodity transactions in which paper or pulp is the relevant commodity, unless otherwise agreed by the parties)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2000-07-13T15:57:00Z</dcterms:created>
  <dc:creator>appinst</dc:creator>
  <dc:description>this is the January version that has all of the December changes accepted</dc:description>
  <dc:language>en-CA</dc:language>
  <cp:lastModifiedBy>sbaile2</cp:lastModifiedBy>
  <cp:lastPrinted>2000-09-20T18:18:00Z</cp:lastPrinted>
  <dcterms:modified xsi:type="dcterms:W3CDTF">2000-10-16T19:51:00Z</dcterms:modified>
  <cp:revision>13</cp:revision>
  <dc:subject/>
  <dc:title>swap update</dc:title>
</cp:coreProperties>
</file>