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468" w:type="dxa"/>
        <w:jc w:val="start"/>
        <w:tblInd w:w="0" w:type="dxa"/>
        <w:tblLayout w:type="fixed"/>
        <w:tblCellMar>
          <w:top w:w="0" w:type="dxa"/>
          <w:start w:w="108" w:type="dxa"/>
          <w:bottom w:w="0" w:type="dxa"/>
          <w:end w:w="108" w:type="dxa"/>
        </w:tblCellMar>
      </w:tblPr>
      <w:tblGrid>
        <w:gridCol w:w="5868"/>
        <w:gridCol w:w="3600"/>
      </w:tblGrid>
      <w:tr>
        <w:trPr/>
        <w:tc>
          <w:tcPr>
            <w:tcW w:w="5868" w:type="dxa"/>
            <w:tcBorders/>
          </w:tcPr>
          <w:p>
            <w:pPr>
              <w:pStyle w:val="FootnoteText"/>
              <w:widowControl/>
              <w:spacing w:before="20" w:after="0"/>
              <w:rPr>
                <w:sz w:val="22"/>
              </w:rPr>
            </w:pPr>
            <w:r>
              <w:rPr/>
              <w:drawing>
                <wp:inline distT="0" distB="0" distL="0" distR="0">
                  <wp:extent cx="994410" cy="98742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4" t="-35" r="-34" b="-35"/>
                          <a:stretch>
                            <a:fillRect/>
                          </a:stretch>
                        </pic:blipFill>
                        <pic:spPr bwMode="auto">
                          <a:xfrm>
                            <a:off x="0" y="0"/>
                            <a:ext cx="994410" cy="987425"/>
                          </a:xfrm>
                          <a:prstGeom prst="rect">
                            <a:avLst/>
                          </a:prstGeom>
                          <a:noFill/>
                        </pic:spPr>
                      </pic:pic>
                    </a:graphicData>
                  </a:graphic>
                </wp:inline>
              </w:drawing>
            </w:r>
          </w:p>
        </w:tc>
        <w:tc>
          <w:tcPr>
            <w:tcW w:w="3600" w:type="dxa"/>
            <w:tcBorders/>
          </w:tcPr>
          <w:p>
            <w:pPr>
              <w:pStyle w:val="Normal"/>
              <w:widowControl/>
              <w:snapToGrid w:val="false"/>
              <w:rPr>
                <w:rFonts w:ascii="Times New Roman" w:hAnsi="Times New Roman" w:cs="Times New Roman"/>
                <w:b/>
                <w:sz w:val="22"/>
              </w:rPr>
            </w:pPr>
            <w:r>
              <w:rPr>
                <w:rFonts w:cs="Times New Roman" w:ascii="Times New Roman" w:hAnsi="Times New Roman"/>
                <w:b/>
                <w:sz w:val="22"/>
              </w:rPr>
            </w:r>
          </w:p>
          <w:p>
            <w:pPr>
              <w:pStyle w:val="Normal"/>
              <w:widowControl/>
              <w:rPr>
                <w:rFonts w:ascii="Times New Roman" w:hAnsi="Times New Roman" w:cs="Times New Roman"/>
                <w:b/>
                <w:sz w:val="22"/>
              </w:rPr>
            </w:pPr>
            <w:r>
              <w:rPr>
                <w:rFonts w:cs="Times New Roman" w:ascii="Times New Roman" w:hAnsi="Times New Roman"/>
                <w:b/>
                <w:sz w:val="22"/>
              </w:rPr>
            </w:r>
          </w:p>
          <w:p>
            <w:pPr>
              <w:pStyle w:val="Normal"/>
              <w:widowControl/>
              <w:rPr>
                <w:rFonts w:ascii="Times New Roman" w:hAnsi="Times New Roman" w:cs="Times New Roman"/>
                <w:b/>
                <w:sz w:val="22"/>
              </w:rPr>
            </w:pPr>
            <w:r>
              <w:rPr>
                <w:rFonts w:cs="Times New Roman" w:ascii="Times New Roman" w:hAnsi="Times New Roman"/>
                <w:b/>
                <w:sz w:val="22"/>
              </w:rPr>
            </w:r>
          </w:p>
          <w:p>
            <w:pPr>
              <w:pStyle w:val="Normal"/>
              <w:widowControl/>
              <w:rPr>
                <w:rFonts w:ascii="Times New Roman" w:hAnsi="Times New Roman" w:cs="Times New Roman"/>
                <w:b/>
                <w:sz w:val="22"/>
              </w:rPr>
            </w:pPr>
            <w:r>
              <w:rPr>
                <w:rFonts w:cs="Times New Roman" w:ascii="Times New Roman" w:hAnsi="Times New Roman"/>
                <w:b/>
                <w:sz w:val="22"/>
              </w:rPr>
              <w:t>INTEROFFICE</w:t>
            </w:r>
          </w:p>
          <w:p>
            <w:pPr>
              <w:pStyle w:val="Normal"/>
              <w:widowControl/>
              <w:rPr>
                <w:sz w:val="22"/>
              </w:rPr>
            </w:pPr>
            <w:r>
              <w:rPr>
                <w:rFonts w:cs="Times New Roman" w:ascii="Times New Roman" w:hAnsi="Times New Roman"/>
                <w:b/>
                <w:sz w:val="22"/>
              </w:rPr>
              <w:t>MEMORANDUM</w:t>
            </w:r>
          </w:p>
        </w:tc>
      </w:tr>
    </w:tbl>
    <w:p>
      <w:pPr>
        <w:pStyle w:val="Normal"/>
        <w:widowControl/>
        <w:rPr>
          <w:rFonts w:ascii="Times New Roman" w:hAnsi="Times New Roman" w:cs="Times New Roman"/>
          <w:sz w:val="22"/>
        </w:rPr>
      </w:pPr>
      <w:r>
        <w:rPr>
          <w:rFonts w:cs="Times New Roman" w:ascii="Times New Roman" w:hAnsi="Times New Roman"/>
          <w:sz w:val="22"/>
        </w:rPr>
      </w:r>
    </w:p>
    <w:p>
      <w:pPr>
        <w:pStyle w:val="Normal"/>
        <w:widowControl/>
        <w:rPr>
          <w:rFonts w:ascii="Times New Roman" w:hAnsi="Times New Roman" w:cs="Times New Roman"/>
          <w:sz w:val="22"/>
        </w:rPr>
      </w:pPr>
      <w:r>
        <w:rPr>
          <w:rFonts w:cs="Times New Roman" w:ascii="Times New Roman" w:hAnsi="Times New Roman"/>
          <w:sz w:val="22"/>
        </w:rPr>
        <w:t>To:</w:t>
        <w:tab/>
        <w:tab/>
        <w:t>All ENA located in North America</w:t>
        <w:tab/>
        <w:tab/>
        <w:t xml:space="preserve">Department:  </w:t>
        <w:tab/>
        <w:t>ENA Legal</w:t>
      </w:r>
    </w:p>
    <w:p>
      <w:pPr>
        <w:pStyle w:val="Normal"/>
        <w:widowControl/>
        <w:tabs>
          <w:tab w:val="clear" w:pos="720"/>
          <w:tab w:val="right" w:pos="900" w:leader="none"/>
        </w:tabs>
        <w:ind w:hanging="1440" w:start="1440" w:end="0"/>
        <w:rPr>
          <w:rFonts w:ascii="Times New Roman" w:hAnsi="Times New Roman" w:cs="Times New Roman"/>
          <w:sz w:val="22"/>
        </w:rPr>
      </w:pPr>
      <w:r>
        <w:rPr>
          <w:rFonts w:cs="Times New Roman" w:ascii="Times New Roman" w:hAnsi="Times New Roman"/>
          <w:sz w:val="22"/>
        </w:rPr>
      </w:r>
    </w:p>
    <w:p>
      <w:pPr>
        <w:pStyle w:val="Normal"/>
        <w:widowControl/>
        <w:rPr>
          <w:rFonts w:ascii="Times New Roman" w:hAnsi="Times New Roman" w:cs="Times New Roman"/>
          <w:sz w:val="22"/>
        </w:rPr>
      </w:pPr>
      <w:r>
        <w:rPr>
          <w:rFonts w:cs="Times New Roman" w:ascii="Times New Roman" w:hAnsi="Times New Roman"/>
          <w:sz w:val="22"/>
        </w:rPr>
        <w:t>From:</w:t>
        <w:tab/>
        <w:tab/>
        <w:t>Financial Trading Group</w:t>
        <w:tab/>
        <w:tab/>
        <w:tab/>
        <w:t>Date:</w:t>
        <w:tab/>
        <w:t>June 15, 2001</w:t>
      </w:r>
    </w:p>
    <w:p>
      <w:pPr>
        <w:pStyle w:val="Normal"/>
        <w:widowControl/>
        <w:rPr>
          <w:rFonts w:ascii="Times New Roman" w:hAnsi="Times New Roman" w:cs="Times New Roman"/>
          <w:sz w:val="22"/>
        </w:rPr>
      </w:pPr>
      <w:r>
        <w:rPr>
          <w:rFonts w:cs="Times New Roman" w:ascii="Times New Roman" w:hAnsi="Times New Roman"/>
          <w:sz w:val="22"/>
        </w:rPr>
      </w:r>
    </w:p>
    <w:p>
      <w:pPr>
        <w:pStyle w:val="Normal"/>
        <w:widowControl/>
        <w:rPr>
          <w:rFonts w:ascii="Times New Roman" w:hAnsi="Times New Roman" w:cs="Times New Roman"/>
          <w:sz w:val="22"/>
        </w:rPr>
      </w:pPr>
      <w:r>
        <w:rPr>
          <w:rFonts w:cs="Times New Roman" w:ascii="Times New Roman" w:hAnsi="Times New Roman"/>
          <w:sz w:val="22"/>
        </w:rPr>
        <w:t>Subject:</w:t>
        <w:tab/>
        <w:t>Executed Master Agreements</w:t>
      </w:r>
    </w:p>
    <w:p>
      <w:pPr>
        <w:pStyle w:val="Normal"/>
        <w:widowControl/>
        <w:rPr>
          <w:rFonts w:ascii="Times New Roman" w:hAnsi="Times New Roman" w:cs="Times New Roman"/>
          <w:sz w:val="22"/>
        </w:rPr>
      </w:pPr>
      <w:r>
        <w:rPr>
          <w:rFonts w:cs="Times New Roman" w:ascii="Times New Roman" w:hAnsi="Times New Roman"/>
          <w:sz w:val="22"/>
        </w:rPr>
      </w:r>
    </w:p>
    <w:p>
      <w:pPr>
        <w:pStyle w:val="Normal"/>
        <w:widowControl/>
        <w:pBdr>
          <w:top w:val="single" w:sz="12" w:space="1" w:color="000000"/>
        </w:pBdr>
        <w:rPr>
          <w:rFonts w:ascii="Times New Roman" w:hAnsi="Times New Roman" w:cs="Times New Roman"/>
          <w:sz w:val="22"/>
        </w:rPr>
      </w:pPr>
      <w:r>
        <w:rPr>
          <w:rFonts w:cs="Times New Roman" w:ascii="Times New Roman" w:hAnsi="Times New Roman"/>
          <w:sz w:val="22"/>
        </w:rPr>
      </w:r>
    </w:p>
    <w:p>
      <w:pPr>
        <w:pStyle w:val="Normal"/>
        <w:widowControl/>
        <w:ind w:firstLine="720" w:end="0"/>
        <w:jc w:val="both"/>
        <w:rPr>
          <w:rFonts w:ascii="Times New Roman" w:hAnsi="Times New Roman" w:cs="Times New Roman"/>
          <w:sz w:val="22"/>
        </w:rPr>
      </w:pPr>
      <w:r>
        <w:rPr>
          <w:rFonts w:cs="Times New Roman" w:ascii="Times New Roman" w:hAnsi="Times New Roman"/>
          <w:sz w:val="22"/>
        </w:rPr>
        <w:t xml:space="preserve">The following is a current list of counterparties that have executed Master Agreements with ENA (or another Enron entity, as noted below).  Recently executed Master Agreements and changes to an entity’s legal name are shown in </w:t>
      </w:r>
      <w:r>
        <w:rPr>
          <w:rFonts w:cs="Times New Roman" w:ascii="Times New Roman" w:hAnsi="Times New Roman"/>
          <w:b/>
          <w:sz w:val="22"/>
        </w:rPr>
        <w:t>bold</w:t>
      </w:r>
      <w:r>
        <w:rPr>
          <w:rFonts w:cs="Times New Roman" w:ascii="Times New Roman" w:hAnsi="Times New Roman"/>
          <w:sz w:val="22"/>
        </w:rPr>
        <w:t>.</w:t>
      </w:r>
      <w:r>
        <w:rPr>
          <w:rFonts w:cs="Times New Roman" w:ascii="Times New Roman" w:hAnsi="Times New Roman"/>
          <w:sz w:val="22"/>
          <w:u w:val="single"/>
        </w:rPr>
        <w:t xml:space="preserve"> </w:t>
      </w:r>
    </w:p>
    <w:p>
      <w:pPr>
        <w:pStyle w:val="Normal"/>
        <w:widowControl/>
        <w:ind w:firstLine="720" w:end="0"/>
        <w:jc w:val="both"/>
        <w:rPr>
          <w:rFonts w:ascii="Times New Roman" w:hAnsi="Times New Roman" w:cs="Times New Roman"/>
          <w:sz w:val="22"/>
        </w:rPr>
      </w:pPr>
      <w:r>
        <w:rPr>
          <w:rFonts w:cs="Times New Roman" w:ascii="Times New Roman" w:hAnsi="Times New Roman"/>
          <w:sz w:val="22"/>
        </w:rPr>
      </w:r>
    </w:p>
    <w:p>
      <w:pPr>
        <w:pStyle w:val="Normal"/>
        <w:widowControl/>
        <w:ind w:firstLine="720" w:end="0"/>
        <w:jc w:val="both"/>
        <w:rPr/>
      </w:pPr>
      <w:r>
        <w:rPr>
          <w:rFonts w:cs="Times New Roman" w:ascii="Times New Roman" w:hAnsi="Times New Roman"/>
          <w:sz w:val="22"/>
        </w:rPr>
        <w:t xml:space="preserve">These Master Agreements cover </w:t>
      </w:r>
      <w:r>
        <w:rPr>
          <w:rFonts w:cs="Times New Roman" w:ascii="Times New Roman" w:hAnsi="Times New Roman"/>
          <w:sz w:val="22"/>
          <w:u w:val="single"/>
        </w:rPr>
        <w:t>United States and Canada financial transactions only</w:t>
      </w:r>
      <w:r>
        <w:rPr>
          <w:rFonts w:cs="Times New Roman" w:ascii="Times New Roman" w:hAnsi="Times New Roman"/>
          <w:sz w:val="22"/>
        </w:rPr>
        <w:t>.</w:t>
      </w:r>
      <w:r>
        <w:rPr>
          <w:rFonts w:cs="Times New Roman" w:ascii="Times New Roman" w:hAnsi="Times New Roman"/>
          <w:b/>
          <w:sz w:val="22"/>
        </w:rPr>
        <w:t xml:space="preserve">  </w:t>
      </w:r>
      <w:r>
        <w:rPr>
          <w:rFonts w:cs="Times New Roman" w:ascii="Times New Roman" w:hAnsi="Times New Roman"/>
          <w:sz w:val="22"/>
        </w:rPr>
        <w:t>If you are doing financial transactions with a counterparty that is not listed below, please call the legal department to determine how to proceed with negotiating a Master Agreement.</w:t>
      </w:r>
    </w:p>
    <w:p>
      <w:pPr>
        <w:pStyle w:val="Normal"/>
        <w:widowControl/>
        <w:ind w:firstLine="720" w:end="0"/>
        <w:jc w:val="both"/>
        <w:rPr>
          <w:rFonts w:ascii="Times New Roman" w:hAnsi="Times New Roman" w:cs="Times New Roman"/>
          <w:sz w:val="22"/>
        </w:rPr>
      </w:pPr>
      <w:r>
        <w:rPr>
          <w:rFonts w:cs="Times New Roman" w:ascii="Times New Roman" w:hAnsi="Times New Roman"/>
          <w:sz w:val="22"/>
        </w:rPr>
      </w:r>
    </w:p>
    <w:p>
      <w:pPr>
        <w:pStyle w:val="Normal"/>
        <w:widowControl/>
        <w:ind w:firstLine="720" w:end="0"/>
        <w:jc w:val="center"/>
        <w:rPr>
          <w:rFonts w:ascii="Times New Roman" w:hAnsi="Times New Roman" w:cs="Times New Roman"/>
          <w:b/>
          <w:sz w:val="22"/>
        </w:rPr>
      </w:pPr>
      <w:r>
        <w:rPr>
          <w:rFonts w:cs="Times New Roman" w:ascii="Times New Roman" w:hAnsi="Times New Roman"/>
          <w:b/>
          <w:sz w:val="22"/>
        </w:rPr>
        <w:t>THE EXISTENCE OF THESE DOCUMENTS SHOULD NOT BE</w:t>
      </w:r>
    </w:p>
    <w:p>
      <w:pPr>
        <w:pStyle w:val="Normal"/>
        <w:widowControl/>
        <w:ind w:firstLine="720" w:end="0"/>
        <w:jc w:val="center"/>
        <w:rPr>
          <w:rFonts w:ascii="Times New Roman" w:hAnsi="Times New Roman" w:cs="Times New Roman"/>
          <w:b/>
          <w:sz w:val="22"/>
        </w:rPr>
      </w:pPr>
      <w:r>
        <w:rPr>
          <w:rFonts w:cs="Times New Roman" w:ascii="Times New Roman" w:hAnsi="Times New Roman"/>
          <w:b/>
          <w:sz w:val="22"/>
        </w:rPr>
        <w:t>DISCUSSED WITH ANYONE OUTSIDE THE COMPANY</w:t>
      </w:r>
    </w:p>
    <w:p>
      <w:pPr>
        <w:pStyle w:val="Normal"/>
        <w:widowControl/>
        <w:ind w:firstLine="720" w:end="0"/>
        <w:jc w:val="both"/>
        <w:rPr>
          <w:rFonts w:ascii="Times New Roman" w:hAnsi="Times New Roman" w:cs="Times New Roman"/>
          <w:b/>
          <w:sz w:val="22"/>
        </w:rPr>
      </w:pPr>
      <w:r>
        <w:rPr>
          <w:rFonts w:cs="Times New Roman" w:ascii="Times New Roman" w:hAnsi="Times New Roman"/>
          <w:b/>
          <w:sz w:val="22"/>
        </w:rPr>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AEP Energy Services,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AES Deepwater,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ARC Resources Ltd. (Enron Canada Corp.)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Abitibi-Consolidated Inc.</w:t>
      </w:r>
    </w:p>
    <w:p>
      <w:pPr>
        <w:pStyle w:val="Normal"/>
        <w:widowControl/>
        <w:numPr>
          <w:ilvl w:val="0"/>
          <w:numId w:val="2"/>
        </w:numPr>
        <w:jc w:val="both"/>
        <w:rPr>
          <w:rFonts w:ascii="Times New Roman" w:hAnsi="Times New Roman" w:cs="Times New Roman"/>
          <w:bCs/>
          <w:sz w:val="22"/>
        </w:rPr>
      </w:pPr>
      <w:r>
        <w:rPr>
          <w:rFonts w:cs="Times New Roman" w:ascii="Times New Roman" w:hAnsi="Times New Roman"/>
          <w:bCs/>
          <w:sz w:val="22"/>
        </w:rPr>
        <w:t>Adams Resources Marketing Ltd.</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Agrium Inc.  (Enron Canada Corp.)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Air Canada</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Alberta Energy Company Ltd. (Enron Canada Corp.)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Alcoa Inc. (f/n/a Aluminum Company of America)</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Allegheny Energy Supply Company, LLC (successor-in-interest to the Merrill Lynch Capital Services, Inc. ISDA dated 12/2/92</w:t>
      </w:r>
      <w:r>
        <w:rPr>
          <w:rFonts w:cs="Times New Roman" w:ascii="Times New Roman" w:hAnsi="Times New Roman"/>
          <w:i/>
          <w:iCs/>
          <w:sz w:val="22"/>
        </w:rPr>
        <w:t xml:space="preserve">– this is a TEMPORARY bridge master until a new ISDA is put into place) </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Allied Waste North America,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Alma Energy Corp.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 xml:space="preserve">American Central Energy, L.L.C. </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American Oil &amp; Gas Corporation</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American Re Capital Markets, Inc. (</w:t>
      </w:r>
      <w:r>
        <w:rPr>
          <w:rFonts w:cs="Times New Roman" w:ascii="Times New Roman" w:hAnsi="Times New Roman"/>
          <w:sz w:val="22"/>
          <w:u w:val="single"/>
        </w:rPr>
        <w:t>Weather deals only</w:t>
      </w:r>
      <w:r>
        <w:rPr>
          <w:rFonts w:cs="Times New Roman" w:ascii="Times New Roman" w:hAnsi="Times New Roman"/>
          <w:sz w:val="22"/>
        </w:rPr>
        <w:t>)</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Amtran,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Anadarko Petroleum Corporation</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Apache Corporation</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Aquila Canada Corp. (Enron Canada Corp.)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 xml:space="preserve">Aquila Risk Management Corporation </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Aries Resources, L.L.C.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Arizona Public Service Company</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Aspect Resources LLC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Astra Power, LLC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Atlanta Gas Light Company</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Atlantic Packaging Products Ltd.</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Aurora Natural Gas, LLC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Avista Energy,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Axem-Blackbird L.L.C.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Axia Energy, LP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BC Gas Utility Ltd.  (Enron Canada Corp.)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BC Oil Company</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BNP Paribas (f/k/a Paribas)</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 xml:space="preserve">BP Amoco Corporation </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BP Capital Energy Fund LP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BP Exploration &amp; Oil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BP Gas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BWAB, a Limited Liability Company</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The Bakersfield Californian   (</w:t>
      </w:r>
      <w:r>
        <w:rPr>
          <w:rFonts w:cs="Times New Roman" w:ascii="Times New Roman" w:hAnsi="Times New Roman"/>
          <w:sz w:val="22"/>
          <w:u w:val="single"/>
        </w:rPr>
        <w:t>Newsprint commodity price swap and option transactions only.</w:t>
      </w:r>
      <w:r>
        <w:rPr>
          <w:rFonts w:cs="Times New Roman" w:ascii="Times New Roman" w:hAnsi="Times New Roman"/>
          <w:sz w:val="22"/>
        </w:rPr>
        <w:t>)</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Baltimore Gas and Electric Company</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Bank of America, National Association (f\k\a Bank of America National Trust and Savings Association)</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Bank of Montreal  (</w:t>
      </w:r>
      <w:r>
        <w:rPr>
          <w:rFonts w:cs="Times New Roman" w:ascii="Times New Roman" w:hAnsi="Times New Roman"/>
          <w:sz w:val="22"/>
          <w:u w:val="single"/>
        </w:rPr>
        <w:t>This agreement will not allow payment netting between FX, forward rate and all other Transactions under this agreement.</w:t>
      </w:r>
      <w:r>
        <w:rPr>
          <w:rFonts w:cs="Times New Roman" w:ascii="Times New Roman" w:hAnsi="Times New Roman"/>
          <w:sz w:val="22"/>
        </w:rPr>
        <w:t>)</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Bank One  (f\k\a The First National Bank of Chicago)</w:t>
      </w:r>
    </w:p>
    <w:p>
      <w:pPr>
        <w:pStyle w:val="Normal"/>
        <w:widowControl/>
        <w:numPr>
          <w:ilvl w:val="0"/>
          <w:numId w:val="2"/>
        </w:numPr>
        <w:jc w:val="both"/>
        <w:rPr>
          <w:rFonts w:ascii="Times New Roman" w:hAnsi="Times New Roman" w:cs="Times New Roman"/>
          <w:i/>
          <w:i/>
          <w:iCs/>
          <w:sz w:val="22"/>
        </w:rPr>
      </w:pPr>
      <w:r>
        <w:rPr>
          <w:rFonts w:cs="Times New Roman" w:ascii="Times New Roman" w:hAnsi="Times New Roman"/>
          <w:sz w:val="22"/>
        </w:rPr>
        <w:t xml:space="preserve">Bankers Trust Company </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Barclays Bank PLC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Bargo Energy Company</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Barrett Resources Corporation</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Basin Electric Power Cooperative</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Bayerische Hypo-Und Vereinsbank AG (</w:t>
      </w:r>
      <w:r>
        <w:rPr>
          <w:rFonts w:cs="Times New Roman" w:ascii="Times New Roman" w:hAnsi="Times New Roman"/>
          <w:sz w:val="22"/>
          <w:u w:val="single"/>
        </w:rPr>
        <w:t>approved for all transactions except commodity transactions per the Counterparty’s request</w:t>
      </w:r>
      <w:r>
        <w:rPr>
          <w:rFonts w:cs="Times New Roman" w:ascii="Times New Roman" w:hAnsi="Times New Roman"/>
          <w:sz w:val="22"/>
        </w:rPr>
        <w:t>)</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Bear Paw Energy LLC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Beau Canada Exploration Ltd.  (</w:t>
      </w:r>
      <w:r>
        <w:rPr>
          <w:rFonts w:cs="Times New Roman" w:ascii="Times New Roman" w:hAnsi="Times New Roman"/>
          <w:sz w:val="22"/>
          <w:u w:val="single"/>
        </w:rPr>
        <w:t>All trades should be done under the Master Agreement with Enron Canada Corp.</w:t>
      </w:r>
      <w:r>
        <w:rPr>
          <w:rFonts w:cs="Times New Roman" w:ascii="Times New Roman" w:hAnsi="Times New Roman"/>
          <w:sz w:val="22"/>
        </w:rPr>
        <w:t>)</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Beau Canada Exploration Ltd. (Enron Canada Corp.)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Belco Energy Corp.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Belco Oil &amp; Gas Corp.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Bellingham Cold Storage Co.</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Berco Resources,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Berry Petroleum Company</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Bethlehem Steel Corporation</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Bison Building Materials, Ltd.</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Black Stone Holdings Partnership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Blazer Energy Corp.  (f\k\a Ashland Exploration,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Blue Flame Propane,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 xml:space="preserve">Blue Range Resource Corporation  (Enron Canada Corp.) – INACTIVE </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Boyd Rosene and Associates,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Brant Allen Industries,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Bravo Natural Resources,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Breitburn Energy Company LLC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Bridgeline Gas Marketing LLC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Burlington Northern and Sante Fe Railroad Company (The)</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Burlington Resources Trading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CGAS, Inc. (</w:t>
      </w:r>
      <w:r>
        <w:rPr>
          <w:rFonts w:cs="Times New Roman" w:ascii="Times New Roman" w:hAnsi="Times New Roman"/>
          <w:sz w:val="22"/>
          <w:u w:val="single"/>
        </w:rPr>
        <w:t>Need resolutions from Counterparty’s Board of Director’s prior to trading</w:t>
      </w:r>
      <w:r>
        <w:rPr>
          <w:rFonts w:cs="Times New Roman" w:ascii="Times New Roman" w:hAnsi="Times New Roman"/>
          <w:sz w:val="22"/>
        </w:rPr>
        <w:t>)</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CMS Marketing, Services and Trading Company   (</w:t>
      </w:r>
      <w:r>
        <w:rPr>
          <w:rFonts w:cs="Times New Roman" w:ascii="Times New Roman" w:hAnsi="Times New Roman"/>
          <w:sz w:val="22"/>
          <w:u w:val="single"/>
        </w:rPr>
        <w:t>Agreement permits fixed price swaps, basis swaps, swing swaps and options only.   All other types of trades require prior consent of Counterparty’s Board of Directors.</w:t>
      </w:r>
      <w:r>
        <w:rPr>
          <w:rFonts w:cs="Times New Roman" w:ascii="Times New Roman" w:hAnsi="Times New Roman"/>
          <w:sz w:val="22"/>
        </w:rPr>
        <w:t>)</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CV Reef Company, L.P.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CXY Energy Marketing</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Cabot Oil &amp; Gas Marketing Corporation</w:t>
      </w:r>
    </w:p>
    <w:p>
      <w:pPr>
        <w:pStyle w:val="Normal"/>
        <w:widowControl/>
        <w:numPr>
          <w:ilvl w:val="0"/>
          <w:numId w:val="2"/>
        </w:numPr>
        <w:tabs>
          <w:tab w:val="clear" w:pos="720"/>
          <w:tab w:val="left" w:pos="804" w:leader="none"/>
          <w:tab w:val="left" w:pos="1476" w:leader="none"/>
          <w:tab w:val="left" w:pos="2148" w:leader="none"/>
          <w:tab w:val="left" w:pos="2952" w:leader="none"/>
          <w:tab w:val="left" w:pos="3624" w:leader="none"/>
          <w:tab w:val="left" w:pos="4296" w:leader="none"/>
          <w:tab w:val="left" w:pos="5106" w:leader="none"/>
          <w:tab w:val="left" w:pos="5778" w:leader="none"/>
          <w:tab w:val="left" w:pos="6450" w:leader="none"/>
          <w:tab w:val="left" w:pos="7254" w:leader="none"/>
          <w:tab w:val="left" w:pos="7926" w:leader="none"/>
          <w:tab w:val="left" w:pos="8736" w:leader="none"/>
          <w:tab w:val="left" w:pos="9408" w:leader="none"/>
          <w:tab w:val="left" w:pos="10080" w:leader="none"/>
          <w:tab w:val="left" w:pos="10884" w:leader="none"/>
          <w:tab w:val="left" w:pos="11556" w:leader="none"/>
          <w:tab w:val="left" w:pos="12228" w:leader="none"/>
          <w:tab w:val="left" w:pos="13032" w:leader="none"/>
        </w:tabs>
        <w:jc w:val="both"/>
        <w:rPr>
          <w:rFonts w:ascii="Times New Roman" w:hAnsi="Times New Roman" w:cs="Times New Roman"/>
          <w:sz w:val="22"/>
        </w:rPr>
      </w:pPr>
      <w:r>
        <w:rPr>
          <w:rFonts w:cs="Times New Roman" w:ascii="Times New Roman" w:hAnsi="Times New Roman"/>
          <w:sz w:val="22"/>
        </w:rPr>
        <w:t>Calgary Winter Club (Enron Canada Corp.) (</w:t>
      </w:r>
      <w:r>
        <w:rPr>
          <w:rFonts w:cs="Times New Roman" w:ascii="Times New Roman" w:hAnsi="Times New Roman"/>
          <w:sz w:val="22"/>
          <w:u w:val="single"/>
        </w:rPr>
        <w:t>approved for energy commodities only</w:t>
      </w:r>
      <w:r>
        <w:rPr>
          <w:rFonts w:cs="Times New Roman" w:ascii="Times New Roman" w:hAnsi="Times New Roman"/>
          <w:sz w:val="22"/>
        </w:rPr>
        <w:t>)</w:t>
      </w:r>
    </w:p>
    <w:p>
      <w:pPr>
        <w:pStyle w:val="Normal"/>
        <w:widowControl/>
        <w:numPr>
          <w:ilvl w:val="0"/>
          <w:numId w:val="2"/>
        </w:numPr>
        <w:tabs>
          <w:tab w:val="clear" w:pos="720"/>
          <w:tab w:val="left" w:pos="804" w:leader="none"/>
          <w:tab w:val="left" w:pos="1476" w:leader="none"/>
          <w:tab w:val="left" w:pos="2148" w:leader="none"/>
          <w:tab w:val="left" w:pos="2952" w:leader="none"/>
          <w:tab w:val="left" w:pos="3624" w:leader="none"/>
          <w:tab w:val="left" w:pos="4296" w:leader="none"/>
          <w:tab w:val="left" w:pos="5106" w:leader="none"/>
          <w:tab w:val="left" w:pos="5778" w:leader="none"/>
          <w:tab w:val="left" w:pos="6450" w:leader="none"/>
          <w:tab w:val="left" w:pos="7254" w:leader="none"/>
          <w:tab w:val="left" w:pos="7926" w:leader="none"/>
          <w:tab w:val="left" w:pos="8736" w:leader="none"/>
          <w:tab w:val="left" w:pos="9408" w:leader="none"/>
          <w:tab w:val="left" w:pos="10080" w:leader="none"/>
          <w:tab w:val="left" w:pos="10884" w:leader="none"/>
          <w:tab w:val="left" w:pos="11556" w:leader="none"/>
          <w:tab w:val="left" w:pos="12228" w:leader="none"/>
          <w:tab w:val="left" w:pos="13032" w:leader="none"/>
        </w:tabs>
        <w:jc w:val="both"/>
        <w:rPr>
          <w:rFonts w:ascii="Times New Roman" w:hAnsi="Times New Roman" w:cs="Times New Roman"/>
          <w:sz w:val="22"/>
        </w:rPr>
      </w:pPr>
      <w:r>
        <w:rPr>
          <w:rFonts w:cs="Times New Roman" w:ascii="Times New Roman" w:hAnsi="Times New Roman"/>
          <w:sz w:val="22"/>
        </w:rPr>
        <w:t>Calibre Energy Inc. (f\k\a Deep Basin Energy Inc.) (Enron Canada Corp.)</w:t>
      </w:r>
    </w:p>
    <w:p>
      <w:pPr>
        <w:pStyle w:val="Normal"/>
        <w:widowControl/>
        <w:numPr>
          <w:ilvl w:val="0"/>
          <w:numId w:val="2"/>
        </w:numPr>
        <w:tabs>
          <w:tab w:val="left" w:pos="720" w:leader="none"/>
          <w:tab w:val="left" w:pos="1476" w:leader="none"/>
          <w:tab w:val="left" w:pos="2148" w:leader="none"/>
          <w:tab w:val="left" w:pos="2952" w:leader="none"/>
          <w:tab w:val="left" w:pos="3624" w:leader="none"/>
          <w:tab w:val="left" w:pos="4296" w:leader="none"/>
          <w:tab w:val="left" w:pos="5106" w:leader="none"/>
          <w:tab w:val="left" w:pos="5778" w:leader="none"/>
          <w:tab w:val="left" w:pos="6450" w:leader="none"/>
          <w:tab w:val="left" w:pos="7254" w:leader="none"/>
          <w:tab w:val="left" w:pos="7926" w:leader="none"/>
          <w:tab w:val="left" w:pos="8736" w:leader="none"/>
          <w:tab w:val="left" w:pos="9408" w:leader="none"/>
          <w:tab w:val="left" w:pos="10080" w:leader="none"/>
          <w:tab w:val="left" w:pos="10884" w:leader="none"/>
          <w:tab w:val="left" w:pos="11556" w:leader="none"/>
          <w:tab w:val="left" w:pos="12228" w:leader="none"/>
          <w:tab w:val="left" w:pos="13032" w:leader="none"/>
        </w:tabs>
        <w:jc w:val="both"/>
        <w:rPr>
          <w:rFonts w:ascii="Times New Roman" w:hAnsi="Times New Roman" w:cs="Times New Roman"/>
          <w:sz w:val="22"/>
        </w:rPr>
      </w:pPr>
      <w:r>
        <w:rPr>
          <w:rFonts w:cs="Times New Roman" w:ascii="Times New Roman" w:hAnsi="Times New Roman"/>
          <w:sz w:val="22"/>
        </w:rPr>
        <w:t>Calpine Natural Gas Company (f/k/a Sheridan Energy, Inc.) – INACTIVE (</w:t>
      </w:r>
      <w:r>
        <w:rPr>
          <w:rFonts w:cs="Times New Roman" w:ascii="Times New Roman" w:hAnsi="Times New Roman"/>
          <w:sz w:val="22"/>
          <w:u w:val="single"/>
        </w:rPr>
        <w:t>all financial trades are to be done with Calpine Energy Services, L.P.</w:t>
      </w:r>
      <w:r>
        <w:rPr>
          <w:rFonts w:cs="Times New Roman" w:ascii="Times New Roman" w:hAnsi="Times New Roman"/>
          <w:sz w:val="22"/>
        </w:rPr>
        <w:t>)</w:t>
      </w:r>
    </w:p>
    <w:p>
      <w:pPr>
        <w:pStyle w:val="Normal"/>
        <w:widowControl/>
        <w:numPr>
          <w:ilvl w:val="0"/>
          <w:numId w:val="2"/>
        </w:numPr>
        <w:tabs>
          <w:tab w:val="left" w:pos="720" w:leader="none"/>
          <w:tab w:val="left" w:pos="1476" w:leader="none"/>
          <w:tab w:val="left" w:pos="2148" w:leader="none"/>
          <w:tab w:val="left" w:pos="2952" w:leader="none"/>
          <w:tab w:val="left" w:pos="3624" w:leader="none"/>
          <w:tab w:val="left" w:pos="4296" w:leader="none"/>
          <w:tab w:val="left" w:pos="5106" w:leader="none"/>
          <w:tab w:val="left" w:pos="5778" w:leader="none"/>
          <w:tab w:val="left" w:pos="6450" w:leader="none"/>
          <w:tab w:val="left" w:pos="7254" w:leader="none"/>
          <w:tab w:val="left" w:pos="7926" w:leader="none"/>
          <w:tab w:val="left" w:pos="8736" w:leader="none"/>
          <w:tab w:val="left" w:pos="9408" w:leader="none"/>
          <w:tab w:val="left" w:pos="10080" w:leader="none"/>
          <w:tab w:val="left" w:pos="10884" w:leader="none"/>
          <w:tab w:val="left" w:pos="11556" w:leader="none"/>
          <w:tab w:val="left" w:pos="12228" w:leader="none"/>
          <w:tab w:val="left" w:pos="13032" w:leader="none"/>
        </w:tabs>
        <w:jc w:val="both"/>
        <w:rPr>
          <w:rFonts w:ascii="Times New Roman" w:hAnsi="Times New Roman" w:cs="Times New Roman"/>
          <w:bCs/>
          <w:sz w:val="22"/>
        </w:rPr>
      </w:pPr>
      <w:r>
        <w:rPr>
          <w:rFonts w:cs="Times New Roman" w:ascii="Times New Roman" w:hAnsi="Times New Roman"/>
          <w:bCs/>
          <w:sz w:val="22"/>
        </w:rPr>
        <w:t>Calpine Energy Services, L.P. (f/n/a Calpine Power Services Company)</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Callon Petroleum Company</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Canadian Forest Oil Ltd. (f\k\a Saxon Petroleum Inc.)  (Enron Canada Corp.)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Canadian Imperial Bank of Commerce</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Canadian Natural Resources   (Enron Canada Corp.)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Cannat Resources Inc. (f\k\a Sceptre Resources Limited) (Enron Canada Corp.)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Cargill, Incorporated</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Carolina Holdings,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Carrera Gas Company, L.L.C.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Carrizo Oil &amp; Gas,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Carrollton Resources, L.L.C.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Casella Waste Systems,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Castle Texas Production, Limited Partnership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Central Hudson Gas &amp; Electric Corporation</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Central Resources,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Chase Manhattan Bank (The)</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Chautauqua Airlines,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Chemical Bank</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Chevron U.S.A.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Christiania Bank og Kreditkasse ASA</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Christico Petroleum Company</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Cinergy Marketing &amp; Trading, LLC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Citibank N.A.</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Citizens Gas Utility District of Scott and Morgan Counties</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Citrus Trading Corp.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City of Eugene, acting by and through the Eugene Water &amp; Electric Board</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Clark Oil Trading Company</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Coastal Gas Marketing Company  (</w:t>
      </w:r>
      <w:r>
        <w:rPr>
          <w:rFonts w:cs="Times New Roman" w:ascii="Times New Roman" w:hAnsi="Times New Roman"/>
          <w:sz w:val="22"/>
          <w:u w:val="single"/>
        </w:rPr>
        <w:t>trades are limited to natural gas only)</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Cody Energy, LLC  (f\k\a Cody Energy,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CoEnergy Trading Company</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Compania Minera Autlan, S.A. de C.V.</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Contour Energy Co. (f\k\a Kelley Oil &amp; Gas Corporation)</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Cook Inlet Energy Supply Limited Partnership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Columbia Energy Services Corporation</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Comstock Oil and Gas,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ConAgra Energy Services,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Conectiv Energy Supply, Inc. (successor by assignment to Delmarva Power &amp; Light Company)</w:t>
      </w:r>
    </w:p>
    <w:p>
      <w:pPr>
        <w:pStyle w:val="Normal"/>
        <w:widowControl/>
        <w:numPr>
          <w:ilvl w:val="0"/>
          <w:numId w:val="2"/>
        </w:numPr>
        <w:tabs>
          <w:tab w:val="clear" w:pos="720"/>
          <w:tab w:val="left" w:pos="1080" w:leader="none"/>
          <w:tab w:val="left" w:pos="1476" w:leader="none"/>
          <w:tab w:val="left" w:pos="2148" w:leader="none"/>
          <w:tab w:val="left" w:pos="2952" w:leader="none"/>
          <w:tab w:val="left" w:pos="3624" w:leader="none"/>
          <w:tab w:val="left" w:pos="4296" w:leader="none"/>
          <w:tab w:val="left" w:pos="5106" w:leader="none"/>
          <w:tab w:val="left" w:pos="5778" w:leader="none"/>
          <w:tab w:val="left" w:pos="6450" w:leader="none"/>
          <w:tab w:val="left" w:pos="7254" w:leader="none"/>
          <w:tab w:val="left" w:pos="7926" w:leader="none"/>
          <w:tab w:val="left" w:pos="8736" w:leader="none"/>
          <w:tab w:val="left" w:pos="9408" w:leader="none"/>
          <w:tab w:val="left" w:pos="10080" w:leader="none"/>
          <w:tab w:val="left" w:pos="10884" w:leader="none"/>
          <w:tab w:val="left" w:pos="11556" w:leader="none"/>
          <w:tab w:val="left" w:pos="12228" w:leader="none"/>
          <w:tab w:val="left" w:pos="13032" w:leader="none"/>
        </w:tabs>
        <w:jc w:val="both"/>
        <w:rPr>
          <w:rFonts w:ascii="Times New Roman" w:hAnsi="Times New Roman" w:cs="Times New Roman"/>
          <w:sz w:val="22"/>
        </w:rPr>
      </w:pPr>
      <w:r>
        <w:rPr>
          <w:rFonts w:cs="Times New Roman" w:ascii="Times New Roman" w:hAnsi="Times New Roman"/>
          <w:sz w:val="22"/>
        </w:rPr>
        <w:t>Conoco Inc.</w:t>
      </w:r>
    </w:p>
    <w:p>
      <w:pPr>
        <w:pStyle w:val="Normal"/>
        <w:widowControl/>
        <w:numPr>
          <w:ilvl w:val="0"/>
          <w:numId w:val="2"/>
        </w:numPr>
        <w:tabs>
          <w:tab w:val="clear" w:pos="720"/>
          <w:tab w:val="left" w:pos="1080" w:leader="none"/>
          <w:tab w:val="left" w:pos="1476" w:leader="none"/>
          <w:tab w:val="left" w:pos="2148" w:leader="none"/>
          <w:tab w:val="left" w:pos="2952" w:leader="none"/>
          <w:tab w:val="left" w:pos="3624" w:leader="none"/>
          <w:tab w:val="left" w:pos="4296" w:leader="none"/>
          <w:tab w:val="left" w:pos="5106" w:leader="none"/>
          <w:tab w:val="left" w:pos="5778" w:leader="none"/>
          <w:tab w:val="left" w:pos="6450" w:leader="none"/>
          <w:tab w:val="left" w:pos="7254" w:leader="none"/>
          <w:tab w:val="left" w:pos="7926" w:leader="none"/>
          <w:tab w:val="left" w:pos="8736" w:leader="none"/>
          <w:tab w:val="left" w:pos="9408" w:leader="none"/>
          <w:tab w:val="left" w:pos="10080" w:leader="none"/>
          <w:tab w:val="left" w:pos="10884" w:leader="none"/>
          <w:tab w:val="left" w:pos="11556" w:leader="none"/>
          <w:tab w:val="left" w:pos="12228" w:leader="none"/>
          <w:tab w:val="left" w:pos="13032" w:leader="none"/>
        </w:tabs>
        <w:jc w:val="both"/>
        <w:rPr>
          <w:rFonts w:ascii="Times New Roman" w:hAnsi="Times New Roman" w:cs="Times New Roman"/>
          <w:sz w:val="22"/>
        </w:rPr>
      </w:pPr>
      <w:r>
        <w:rPr>
          <w:rFonts w:cs="Times New Roman" w:ascii="Times New Roman" w:hAnsi="Times New Roman"/>
          <w:b/>
          <w:bCs/>
          <w:sz w:val="22"/>
        </w:rPr>
        <w:t>Constellation Power Source, Inc.</w:t>
      </w:r>
    </w:p>
    <w:p>
      <w:pPr>
        <w:pStyle w:val="Normal"/>
        <w:widowControl/>
        <w:numPr>
          <w:ilvl w:val="0"/>
          <w:numId w:val="2"/>
        </w:numPr>
        <w:tabs>
          <w:tab w:val="clear" w:pos="720"/>
          <w:tab w:val="left" w:pos="1080" w:leader="none"/>
          <w:tab w:val="left" w:pos="1476" w:leader="none"/>
          <w:tab w:val="left" w:pos="2148" w:leader="none"/>
          <w:tab w:val="left" w:pos="2952" w:leader="none"/>
          <w:tab w:val="left" w:pos="3624" w:leader="none"/>
          <w:tab w:val="left" w:pos="4296" w:leader="none"/>
          <w:tab w:val="left" w:pos="5106" w:leader="none"/>
          <w:tab w:val="left" w:pos="5778" w:leader="none"/>
          <w:tab w:val="left" w:pos="6450" w:leader="none"/>
          <w:tab w:val="left" w:pos="7254" w:leader="none"/>
          <w:tab w:val="left" w:pos="7926" w:leader="none"/>
          <w:tab w:val="left" w:pos="8736" w:leader="none"/>
          <w:tab w:val="left" w:pos="9408" w:leader="none"/>
          <w:tab w:val="left" w:pos="10080" w:leader="none"/>
          <w:tab w:val="left" w:pos="10884" w:leader="none"/>
          <w:tab w:val="left" w:pos="11556" w:leader="none"/>
          <w:tab w:val="left" w:pos="12228" w:leader="none"/>
          <w:tab w:val="left" w:pos="13032" w:leader="none"/>
        </w:tabs>
        <w:jc w:val="both"/>
        <w:rPr>
          <w:rFonts w:ascii="Times New Roman" w:hAnsi="Times New Roman" w:cs="Times New Roman"/>
          <w:sz w:val="22"/>
        </w:rPr>
      </w:pPr>
      <w:r>
        <w:rPr>
          <w:rFonts w:cs="Times New Roman" w:ascii="Times New Roman" w:hAnsi="Times New Roman"/>
          <w:sz w:val="22"/>
        </w:rPr>
        <w:t>Consumers' Gas Company Ltd. (The) (Enron Canada Corp.)</w:t>
      </w:r>
    </w:p>
    <w:p>
      <w:pPr>
        <w:pStyle w:val="Normal"/>
        <w:widowControl/>
        <w:numPr>
          <w:ilvl w:val="0"/>
          <w:numId w:val="2"/>
        </w:numPr>
        <w:tabs>
          <w:tab w:val="clear" w:pos="720"/>
          <w:tab w:val="left" w:pos="1080" w:leader="none"/>
          <w:tab w:val="left" w:pos="1476" w:leader="none"/>
          <w:tab w:val="left" w:pos="2148" w:leader="none"/>
          <w:tab w:val="left" w:pos="2952" w:leader="none"/>
          <w:tab w:val="left" w:pos="3624" w:leader="none"/>
          <w:tab w:val="left" w:pos="4296" w:leader="none"/>
          <w:tab w:val="left" w:pos="5106" w:leader="none"/>
          <w:tab w:val="left" w:pos="5778" w:leader="none"/>
          <w:tab w:val="left" w:pos="6450" w:leader="none"/>
          <w:tab w:val="left" w:pos="7254" w:leader="none"/>
          <w:tab w:val="left" w:pos="7926" w:leader="none"/>
          <w:tab w:val="left" w:pos="8736" w:leader="none"/>
          <w:tab w:val="left" w:pos="9408" w:leader="none"/>
          <w:tab w:val="left" w:pos="10080" w:leader="none"/>
          <w:tab w:val="left" w:pos="10884" w:leader="none"/>
          <w:tab w:val="left" w:pos="11556" w:leader="none"/>
          <w:tab w:val="left" w:pos="12228" w:leader="none"/>
          <w:tab w:val="left" w:pos="13032" w:leader="none"/>
        </w:tabs>
        <w:jc w:val="both"/>
        <w:rPr>
          <w:rFonts w:ascii="Times New Roman" w:hAnsi="Times New Roman" w:cs="Times New Roman"/>
          <w:bCs/>
          <w:sz w:val="22"/>
        </w:rPr>
      </w:pPr>
      <w:r>
        <w:rPr>
          <w:rFonts w:cs="Times New Roman" w:ascii="Times New Roman" w:hAnsi="Times New Roman"/>
          <w:bCs/>
          <w:sz w:val="22"/>
        </w:rPr>
        <w:t>Coral Energy Holding, L.P. (f\k\a Coral Energy, L.P.)</w:t>
      </w:r>
    </w:p>
    <w:p>
      <w:pPr>
        <w:pStyle w:val="Normal"/>
        <w:widowControl/>
        <w:numPr>
          <w:ilvl w:val="0"/>
          <w:numId w:val="2"/>
        </w:numPr>
        <w:tabs>
          <w:tab w:val="clear" w:pos="720"/>
          <w:tab w:val="left" w:pos="1080" w:leader="none"/>
          <w:tab w:val="left" w:pos="1476" w:leader="none"/>
          <w:tab w:val="left" w:pos="2148" w:leader="none"/>
          <w:tab w:val="left" w:pos="2952" w:leader="none"/>
          <w:tab w:val="left" w:pos="3624" w:leader="none"/>
          <w:tab w:val="left" w:pos="4296" w:leader="none"/>
          <w:tab w:val="left" w:pos="5106" w:leader="none"/>
          <w:tab w:val="left" w:pos="5778" w:leader="none"/>
          <w:tab w:val="left" w:pos="6450" w:leader="none"/>
          <w:tab w:val="left" w:pos="7254" w:leader="none"/>
          <w:tab w:val="left" w:pos="7926" w:leader="none"/>
          <w:tab w:val="left" w:pos="8736" w:leader="none"/>
          <w:tab w:val="left" w:pos="9408" w:leader="none"/>
          <w:tab w:val="left" w:pos="10080" w:leader="none"/>
          <w:tab w:val="left" w:pos="10884" w:leader="none"/>
          <w:tab w:val="left" w:pos="11556" w:leader="none"/>
          <w:tab w:val="left" w:pos="12228" w:leader="none"/>
          <w:tab w:val="left" w:pos="13032" w:leader="none"/>
        </w:tabs>
        <w:jc w:val="both"/>
        <w:rPr>
          <w:rFonts w:ascii="Times New Roman" w:hAnsi="Times New Roman" w:cs="Times New Roman"/>
          <w:sz w:val="22"/>
        </w:rPr>
      </w:pPr>
      <w:r>
        <w:rPr>
          <w:rFonts w:cs="Times New Roman" w:ascii="Times New Roman" w:hAnsi="Times New Roman"/>
          <w:sz w:val="22"/>
        </w:rPr>
        <w:t>Cornerstone Propane, LP</w:t>
      </w:r>
    </w:p>
    <w:p>
      <w:pPr>
        <w:pStyle w:val="Normal"/>
        <w:widowControl/>
        <w:numPr>
          <w:ilvl w:val="0"/>
          <w:numId w:val="2"/>
        </w:numPr>
        <w:tabs>
          <w:tab w:val="clear" w:pos="720"/>
          <w:tab w:val="left" w:pos="1080" w:leader="none"/>
          <w:tab w:val="left" w:pos="1476" w:leader="none"/>
          <w:tab w:val="left" w:pos="2148" w:leader="none"/>
          <w:tab w:val="left" w:pos="2952" w:leader="none"/>
          <w:tab w:val="left" w:pos="3624" w:leader="none"/>
          <w:tab w:val="left" w:pos="4296" w:leader="none"/>
          <w:tab w:val="left" w:pos="5106" w:leader="none"/>
          <w:tab w:val="left" w:pos="5778" w:leader="none"/>
          <w:tab w:val="left" w:pos="6450" w:leader="none"/>
          <w:tab w:val="left" w:pos="7254" w:leader="none"/>
          <w:tab w:val="left" w:pos="7926" w:leader="none"/>
          <w:tab w:val="left" w:pos="8736" w:leader="none"/>
          <w:tab w:val="left" w:pos="9408" w:leader="none"/>
          <w:tab w:val="left" w:pos="10080" w:leader="none"/>
          <w:tab w:val="left" w:pos="10884" w:leader="none"/>
          <w:tab w:val="left" w:pos="11556" w:leader="none"/>
          <w:tab w:val="left" w:pos="12228" w:leader="none"/>
          <w:tab w:val="left" w:pos="13032" w:leader="none"/>
        </w:tabs>
        <w:jc w:val="both"/>
        <w:rPr>
          <w:rFonts w:ascii="Times New Roman" w:hAnsi="Times New Roman" w:cs="Times New Roman"/>
          <w:sz w:val="22"/>
        </w:rPr>
      </w:pPr>
      <w:r>
        <w:rPr>
          <w:rFonts w:cs="Times New Roman" w:ascii="Times New Roman" w:hAnsi="Times New Roman"/>
          <w:sz w:val="22"/>
        </w:rPr>
        <w:t>Corpus Christi Gas Marketing, L.P.</w:t>
      </w:r>
    </w:p>
    <w:p>
      <w:pPr>
        <w:pStyle w:val="Normal"/>
        <w:widowControl/>
        <w:numPr>
          <w:ilvl w:val="0"/>
          <w:numId w:val="2"/>
        </w:numPr>
        <w:tabs>
          <w:tab w:val="clear" w:pos="720"/>
          <w:tab w:val="left" w:pos="804" w:leader="none"/>
          <w:tab w:val="left" w:pos="1476" w:leader="none"/>
          <w:tab w:val="left" w:pos="2148" w:leader="none"/>
          <w:tab w:val="left" w:pos="2952" w:leader="none"/>
          <w:tab w:val="left" w:pos="3624" w:leader="none"/>
          <w:tab w:val="left" w:pos="4296" w:leader="none"/>
          <w:tab w:val="left" w:pos="5106" w:leader="none"/>
          <w:tab w:val="left" w:pos="5778" w:leader="none"/>
          <w:tab w:val="left" w:pos="6450" w:leader="none"/>
          <w:tab w:val="left" w:pos="7254" w:leader="none"/>
          <w:tab w:val="left" w:pos="7926" w:leader="none"/>
          <w:tab w:val="left" w:pos="8736" w:leader="none"/>
          <w:tab w:val="left" w:pos="9408" w:leader="none"/>
          <w:tab w:val="left" w:pos="10080" w:leader="none"/>
          <w:tab w:val="left" w:pos="10884" w:leader="none"/>
          <w:tab w:val="left" w:pos="11556" w:leader="none"/>
          <w:tab w:val="left" w:pos="12228" w:leader="none"/>
          <w:tab w:val="left" w:pos="13032" w:leader="none"/>
        </w:tabs>
        <w:jc w:val="both"/>
        <w:rPr>
          <w:rFonts w:ascii="Times New Roman" w:hAnsi="Times New Roman" w:cs="Times New Roman"/>
          <w:sz w:val="22"/>
        </w:rPr>
      </w:pPr>
      <w:r>
        <w:rPr>
          <w:rFonts w:cs="Times New Roman" w:ascii="Times New Roman" w:hAnsi="Times New Roman"/>
          <w:sz w:val="22"/>
        </w:rPr>
        <w:t>Corrugated Services, Inc.</w:t>
      </w:r>
    </w:p>
    <w:p>
      <w:pPr>
        <w:pStyle w:val="Normal"/>
        <w:widowControl/>
        <w:numPr>
          <w:ilvl w:val="0"/>
          <w:numId w:val="2"/>
        </w:numPr>
        <w:tabs>
          <w:tab w:val="clear" w:pos="720"/>
          <w:tab w:val="left" w:pos="804" w:leader="none"/>
          <w:tab w:val="left" w:pos="1476" w:leader="none"/>
          <w:tab w:val="left" w:pos="2148" w:leader="none"/>
          <w:tab w:val="left" w:pos="2952" w:leader="none"/>
          <w:tab w:val="left" w:pos="3624" w:leader="none"/>
          <w:tab w:val="left" w:pos="4296" w:leader="none"/>
          <w:tab w:val="left" w:pos="5106" w:leader="none"/>
          <w:tab w:val="left" w:pos="5778" w:leader="none"/>
          <w:tab w:val="left" w:pos="6450" w:leader="none"/>
          <w:tab w:val="left" w:pos="7254" w:leader="none"/>
          <w:tab w:val="left" w:pos="7926" w:leader="none"/>
          <w:tab w:val="left" w:pos="8736" w:leader="none"/>
          <w:tab w:val="left" w:pos="9408" w:leader="none"/>
          <w:tab w:val="left" w:pos="10080" w:leader="none"/>
          <w:tab w:val="left" w:pos="10884" w:leader="none"/>
          <w:tab w:val="left" w:pos="11556" w:leader="none"/>
          <w:tab w:val="left" w:pos="12228" w:leader="none"/>
          <w:tab w:val="left" w:pos="13032" w:leader="none"/>
        </w:tabs>
        <w:jc w:val="both"/>
        <w:rPr>
          <w:rFonts w:ascii="Times New Roman" w:hAnsi="Times New Roman" w:cs="Times New Roman"/>
          <w:sz w:val="22"/>
        </w:rPr>
      </w:pPr>
      <w:r>
        <w:rPr>
          <w:rFonts w:cs="Times New Roman" w:ascii="Times New Roman" w:hAnsi="Times New Roman"/>
          <w:sz w:val="22"/>
        </w:rPr>
        <w:t>Corvair Oils Ltd. (Enron Canada Corp.)</w:t>
      </w:r>
    </w:p>
    <w:p>
      <w:pPr>
        <w:pStyle w:val="Normal"/>
        <w:widowControl/>
        <w:numPr>
          <w:ilvl w:val="0"/>
          <w:numId w:val="2"/>
        </w:numPr>
        <w:tabs>
          <w:tab w:val="clear" w:pos="720"/>
          <w:tab w:val="left" w:pos="804" w:leader="none"/>
          <w:tab w:val="left" w:pos="1476" w:leader="none"/>
          <w:tab w:val="left" w:pos="2148" w:leader="none"/>
          <w:tab w:val="left" w:pos="2952" w:leader="none"/>
          <w:tab w:val="left" w:pos="3624" w:leader="none"/>
          <w:tab w:val="left" w:pos="4296" w:leader="none"/>
          <w:tab w:val="left" w:pos="5106" w:leader="none"/>
          <w:tab w:val="left" w:pos="5778" w:leader="none"/>
          <w:tab w:val="left" w:pos="6450" w:leader="none"/>
          <w:tab w:val="left" w:pos="7254" w:leader="none"/>
          <w:tab w:val="left" w:pos="7926" w:leader="none"/>
          <w:tab w:val="left" w:pos="8736" w:leader="none"/>
          <w:tab w:val="left" w:pos="9408" w:leader="none"/>
          <w:tab w:val="left" w:pos="10080" w:leader="none"/>
          <w:tab w:val="left" w:pos="10884" w:leader="none"/>
          <w:tab w:val="left" w:pos="11556" w:leader="none"/>
          <w:tab w:val="left" w:pos="12228" w:leader="none"/>
          <w:tab w:val="left" w:pos="13032" w:leader="none"/>
        </w:tabs>
        <w:jc w:val="both"/>
        <w:rPr>
          <w:rFonts w:ascii="Times New Roman" w:hAnsi="Times New Roman" w:cs="Times New Roman"/>
          <w:sz w:val="22"/>
        </w:rPr>
      </w:pPr>
      <w:r>
        <w:rPr>
          <w:rFonts w:cs="Times New Roman" w:ascii="Times New Roman" w:hAnsi="Times New Roman"/>
          <w:sz w:val="22"/>
        </w:rPr>
        <w:t>Cox &amp; Perkins Exploration, Inc.</w:t>
      </w:r>
    </w:p>
    <w:p>
      <w:pPr>
        <w:pStyle w:val="Normal"/>
        <w:widowControl/>
        <w:numPr>
          <w:ilvl w:val="0"/>
          <w:numId w:val="2"/>
        </w:numPr>
        <w:tabs>
          <w:tab w:val="clear" w:pos="720"/>
          <w:tab w:val="left" w:pos="804" w:leader="none"/>
          <w:tab w:val="left" w:pos="1476" w:leader="none"/>
          <w:tab w:val="left" w:pos="2148" w:leader="none"/>
          <w:tab w:val="left" w:pos="2952" w:leader="none"/>
          <w:tab w:val="left" w:pos="3624" w:leader="none"/>
          <w:tab w:val="left" w:pos="4296" w:leader="none"/>
          <w:tab w:val="left" w:pos="5106" w:leader="none"/>
          <w:tab w:val="left" w:pos="5778" w:leader="none"/>
          <w:tab w:val="left" w:pos="6450" w:leader="none"/>
          <w:tab w:val="left" w:pos="7254" w:leader="none"/>
          <w:tab w:val="left" w:pos="7926" w:leader="none"/>
          <w:tab w:val="left" w:pos="8736" w:leader="none"/>
          <w:tab w:val="left" w:pos="9408" w:leader="none"/>
          <w:tab w:val="left" w:pos="10080" w:leader="none"/>
          <w:tab w:val="left" w:pos="10884" w:leader="none"/>
          <w:tab w:val="left" w:pos="11556" w:leader="none"/>
          <w:tab w:val="left" w:pos="12228" w:leader="none"/>
          <w:tab w:val="left" w:pos="13032" w:leader="none"/>
        </w:tabs>
        <w:jc w:val="both"/>
        <w:rPr>
          <w:rFonts w:ascii="Times New Roman" w:hAnsi="Times New Roman" w:cs="Times New Roman"/>
          <w:sz w:val="22"/>
        </w:rPr>
      </w:pPr>
      <w:r>
        <w:rPr>
          <w:rFonts w:cs="Times New Roman" w:ascii="Times New Roman" w:hAnsi="Times New Roman"/>
          <w:sz w:val="22"/>
        </w:rPr>
        <w:t>Credit Lyonnais New York Branch (AAA Program)</w:t>
      </w:r>
      <w:r>
        <w:rPr>
          <w:rFonts w:cs="Times New Roman" w:ascii="Times New Roman" w:hAnsi="Times New Roman"/>
          <w:b/>
          <w:sz w:val="22"/>
        </w:rPr>
        <w:t xml:space="preserve"> </w:t>
      </w:r>
      <w:r>
        <w:rPr>
          <w:rFonts w:cs="Times New Roman" w:ascii="Times New Roman" w:hAnsi="Times New Roman"/>
          <w:sz w:val="22"/>
        </w:rPr>
        <w:t xml:space="preserve"> (</w:t>
      </w:r>
      <w:r>
        <w:rPr>
          <w:rFonts w:cs="Times New Roman" w:ascii="Times New Roman" w:hAnsi="Times New Roman"/>
          <w:sz w:val="22"/>
          <w:u w:val="single"/>
        </w:rPr>
        <w:t>approved for interest rate, FX and currency and equity transactions only --NO COMMODITY TRANSACTIONS</w:t>
      </w:r>
      <w:r>
        <w:rPr>
          <w:rFonts w:cs="Times New Roman" w:ascii="Times New Roman" w:hAnsi="Times New Roman"/>
          <w:sz w:val="22"/>
        </w:rPr>
        <w:t>)</w:t>
      </w:r>
    </w:p>
    <w:p>
      <w:pPr>
        <w:pStyle w:val="Normal"/>
        <w:widowControl/>
        <w:numPr>
          <w:ilvl w:val="0"/>
          <w:numId w:val="2"/>
        </w:numPr>
        <w:tabs>
          <w:tab w:val="clear" w:pos="720"/>
          <w:tab w:val="left" w:pos="804" w:leader="none"/>
          <w:tab w:val="left" w:pos="1476" w:leader="none"/>
          <w:tab w:val="left" w:pos="2148" w:leader="none"/>
          <w:tab w:val="left" w:pos="2952" w:leader="none"/>
          <w:tab w:val="left" w:pos="3624" w:leader="none"/>
          <w:tab w:val="left" w:pos="4296" w:leader="none"/>
          <w:tab w:val="left" w:pos="5106" w:leader="none"/>
          <w:tab w:val="left" w:pos="5778" w:leader="none"/>
          <w:tab w:val="left" w:pos="6450" w:leader="none"/>
          <w:tab w:val="left" w:pos="7254" w:leader="none"/>
          <w:tab w:val="left" w:pos="7926" w:leader="none"/>
          <w:tab w:val="left" w:pos="8736" w:leader="none"/>
          <w:tab w:val="left" w:pos="9408" w:leader="none"/>
          <w:tab w:val="left" w:pos="10080" w:leader="none"/>
          <w:tab w:val="left" w:pos="10884" w:leader="none"/>
          <w:tab w:val="left" w:pos="11556" w:leader="none"/>
          <w:tab w:val="left" w:pos="12228" w:leader="none"/>
          <w:tab w:val="left" w:pos="13032" w:leader="none"/>
        </w:tabs>
        <w:jc w:val="both"/>
        <w:rPr>
          <w:rFonts w:ascii="Times New Roman" w:hAnsi="Times New Roman" w:cs="Times New Roman"/>
          <w:sz w:val="22"/>
        </w:rPr>
      </w:pPr>
      <w:r>
        <w:rPr>
          <w:rFonts w:cs="Times New Roman" w:ascii="Times New Roman" w:hAnsi="Times New Roman"/>
          <w:sz w:val="22"/>
        </w:rPr>
        <w:t>Credit Suisse Financial Products</w:t>
      </w:r>
    </w:p>
    <w:p>
      <w:pPr>
        <w:pStyle w:val="Normal"/>
        <w:widowControl/>
        <w:numPr>
          <w:ilvl w:val="0"/>
          <w:numId w:val="2"/>
        </w:numPr>
        <w:tabs>
          <w:tab w:val="clear" w:pos="720"/>
          <w:tab w:val="left" w:pos="804" w:leader="none"/>
          <w:tab w:val="left" w:pos="1476" w:leader="none"/>
          <w:tab w:val="left" w:pos="2148" w:leader="none"/>
          <w:tab w:val="left" w:pos="2952" w:leader="none"/>
          <w:tab w:val="left" w:pos="3624" w:leader="none"/>
          <w:tab w:val="left" w:pos="4296" w:leader="none"/>
          <w:tab w:val="left" w:pos="5106" w:leader="none"/>
          <w:tab w:val="left" w:pos="5778" w:leader="none"/>
          <w:tab w:val="left" w:pos="6450" w:leader="none"/>
          <w:tab w:val="left" w:pos="7254" w:leader="none"/>
          <w:tab w:val="left" w:pos="7926" w:leader="none"/>
          <w:tab w:val="left" w:pos="8736" w:leader="none"/>
          <w:tab w:val="left" w:pos="9408" w:leader="none"/>
          <w:tab w:val="left" w:pos="10080" w:leader="none"/>
          <w:tab w:val="left" w:pos="10884" w:leader="none"/>
          <w:tab w:val="left" w:pos="11556" w:leader="none"/>
          <w:tab w:val="left" w:pos="12228" w:leader="none"/>
          <w:tab w:val="left" w:pos="13032" w:leader="none"/>
        </w:tabs>
        <w:jc w:val="both"/>
        <w:rPr>
          <w:rFonts w:ascii="Times New Roman" w:hAnsi="Times New Roman" w:cs="Times New Roman"/>
          <w:sz w:val="22"/>
        </w:rPr>
      </w:pPr>
      <w:r>
        <w:rPr>
          <w:rFonts w:cs="Times New Roman" w:ascii="Times New Roman" w:hAnsi="Times New Roman"/>
          <w:sz w:val="22"/>
        </w:rPr>
        <w:t>Crete Oil Company, Inc.</w:t>
      </w:r>
    </w:p>
    <w:p>
      <w:pPr>
        <w:pStyle w:val="Normal"/>
        <w:widowControl/>
        <w:numPr>
          <w:ilvl w:val="0"/>
          <w:numId w:val="2"/>
        </w:numPr>
        <w:tabs>
          <w:tab w:val="clear" w:pos="720"/>
          <w:tab w:val="left" w:pos="804" w:leader="none"/>
          <w:tab w:val="left" w:pos="1476" w:leader="none"/>
          <w:tab w:val="left" w:pos="2148" w:leader="none"/>
          <w:tab w:val="left" w:pos="2952" w:leader="none"/>
          <w:tab w:val="left" w:pos="3624" w:leader="none"/>
          <w:tab w:val="left" w:pos="4296" w:leader="none"/>
          <w:tab w:val="left" w:pos="5106" w:leader="none"/>
          <w:tab w:val="left" w:pos="5778" w:leader="none"/>
          <w:tab w:val="left" w:pos="6450" w:leader="none"/>
          <w:tab w:val="left" w:pos="7254" w:leader="none"/>
          <w:tab w:val="left" w:pos="7926" w:leader="none"/>
          <w:tab w:val="left" w:pos="8736" w:leader="none"/>
          <w:tab w:val="left" w:pos="9408" w:leader="none"/>
          <w:tab w:val="left" w:pos="10080" w:leader="none"/>
          <w:tab w:val="left" w:pos="10884" w:leader="none"/>
          <w:tab w:val="left" w:pos="11556" w:leader="none"/>
          <w:tab w:val="left" w:pos="12228" w:leader="none"/>
          <w:tab w:val="left" w:pos="13032" w:leader="none"/>
        </w:tabs>
        <w:jc w:val="both"/>
        <w:rPr>
          <w:rFonts w:ascii="Times New Roman" w:hAnsi="Times New Roman" w:cs="Times New Roman"/>
          <w:sz w:val="22"/>
        </w:rPr>
      </w:pPr>
      <w:r>
        <w:rPr>
          <w:rFonts w:cs="Times New Roman" w:ascii="Times New Roman" w:hAnsi="Times New Roman"/>
          <w:sz w:val="22"/>
        </w:rPr>
        <w:t>Cross Timbers Oil Company</w:t>
      </w:r>
    </w:p>
    <w:p>
      <w:pPr>
        <w:pStyle w:val="Normal"/>
        <w:widowControl/>
        <w:numPr>
          <w:ilvl w:val="0"/>
          <w:numId w:val="2"/>
        </w:numPr>
        <w:tabs>
          <w:tab w:val="clear" w:pos="720"/>
          <w:tab w:val="left" w:pos="804" w:leader="none"/>
          <w:tab w:val="left" w:pos="1476" w:leader="none"/>
          <w:tab w:val="left" w:pos="2148" w:leader="none"/>
          <w:tab w:val="left" w:pos="2952" w:leader="none"/>
          <w:tab w:val="left" w:pos="3624" w:leader="none"/>
          <w:tab w:val="left" w:pos="4296" w:leader="none"/>
          <w:tab w:val="left" w:pos="5106" w:leader="none"/>
          <w:tab w:val="left" w:pos="5778" w:leader="none"/>
          <w:tab w:val="left" w:pos="6450" w:leader="none"/>
          <w:tab w:val="left" w:pos="7254" w:leader="none"/>
          <w:tab w:val="left" w:pos="7926" w:leader="none"/>
          <w:tab w:val="left" w:pos="8736" w:leader="none"/>
          <w:tab w:val="left" w:pos="9408" w:leader="none"/>
          <w:tab w:val="left" w:pos="10080" w:leader="none"/>
          <w:tab w:val="left" w:pos="10884" w:leader="none"/>
          <w:tab w:val="left" w:pos="11556" w:leader="none"/>
          <w:tab w:val="left" w:pos="12228" w:leader="none"/>
          <w:tab w:val="left" w:pos="13032" w:leader="none"/>
        </w:tabs>
        <w:jc w:val="both"/>
        <w:rPr>
          <w:rFonts w:ascii="Times New Roman" w:hAnsi="Times New Roman" w:cs="Times New Roman"/>
          <w:sz w:val="22"/>
        </w:rPr>
      </w:pPr>
      <w:r>
        <w:rPr>
          <w:rFonts w:cs="Times New Roman" w:ascii="Times New Roman" w:hAnsi="Times New Roman"/>
          <w:sz w:val="22"/>
        </w:rPr>
        <w:t>Dakota LLC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Deutsche Bank AG</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Dispatch Printing Company (The)</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Dow Chemical Canada Inc. (Enron Canada Corp.)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Dow Hydrocarbons and Resources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Dresdner Bank AG (</w:t>
      </w:r>
      <w:r>
        <w:rPr>
          <w:rFonts w:cs="Times New Roman" w:ascii="Times New Roman" w:hAnsi="Times New Roman"/>
          <w:sz w:val="22"/>
          <w:u w:val="single"/>
        </w:rPr>
        <w:t>approved for FX &amp; Forward Rate transactions only  – NO COMMODITY TRANSACTIONS</w:t>
      </w:r>
      <w:r>
        <w:rPr>
          <w:rFonts w:cs="Times New Roman" w:ascii="Times New Roman" w:hAnsi="Times New Roman"/>
          <w:sz w:val="22"/>
        </w:rPr>
        <w:t>)</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Duke Energy International, L.L.C.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Duke Energy Marketing Limited Partnership (Enron Canada Corp.)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Duke Energy Trading and Marketing, L.L.C.</w:t>
      </w:r>
    </w:p>
    <w:p>
      <w:pPr>
        <w:pStyle w:val="Normal"/>
        <w:widowControl/>
        <w:numPr>
          <w:ilvl w:val="0"/>
          <w:numId w:val="2"/>
        </w:numPr>
        <w:jc w:val="both"/>
        <w:rPr>
          <w:rFonts w:ascii="Times New Roman" w:hAnsi="Times New Roman" w:cs="Times New Roman"/>
          <w:bCs/>
          <w:sz w:val="22"/>
        </w:rPr>
      </w:pPr>
      <w:r>
        <w:rPr>
          <w:rFonts w:cs="Times New Roman" w:ascii="Times New Roman" w:hAnsi="Times New Roman"/>
          <w:bCs/>
          <w:sz w:val="22"/>
        </w:rPr>
        <w:t>Dynegy Canada Inc. (f\k\a Novagas Clearinghouse Limited Partnership)  (Enron Canada Corp.)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Dynegy Marketing and Trade (f\k\a Natural Gas Clearinghouse)</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e prime,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E.I.L. Petroleum,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EnerVest Energy, L.P.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Entrada Energy Ventures, L.L.C.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EPEC Energy Marketing Company</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E. W. Scripps Company (The)</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Eagle Gas Marketing Company</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Edge Energy Inc. (f\k\a Alberta Oil &amp; Gas Limited) (Enron Canada Corp.)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Edge Joint Venture II</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Edge Petroleum Corporation</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El Paso Merchant Energy, L.P. (f/k/a El Paso Merchant Energy-Gas, L.P.)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Elf Trading S.A. (ENA)</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Elf Trading S.A. (ECT International)</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Elm Ridge Exploration Company</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Empressa Distribudora de Energia Norte, S.A.</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Encal Energy Ltd. (Enron Canada Corp.)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Encore Acquisition Partners, Inc.</w:t>
      </w:r>
    </w:p>
    <w:p>
      <w:pPr>
        <w:pStyle w:val="Normal"/>
        <w:widowControl/>
        <w:numPr>
          <w:ilvl w:val="0"/>
          <w:numId w:val="2"/>
        </w:numPr>
        <w:jc w:val="both"/>
        <w:rPr>
          <w:rFonts w:ascii="Times New Roman" w:hAnsi="Times New Roman" w:cs="Times New Roman"/>
          <w:sz w:val="22"/>
          <w:u w:val="single"/>
        </w:rPr>
      </w:pPr>
      <w:r>
        <w:rPr>
          <w:rFonts w:cs="Times New Roman" w:ascii="Times New Roman" w:hAnsi="Times New Roman"/>
          <w:sz w:val="22"/>
        </w:rPr>
        <w:t xml:space="preserve">Energen Resources Corporation -- </w:t>
      </w:r>
      <w:r>
        <w:rPr>
          <w:rFonts w:cs="Times New Roman" w:ascii="Times New Roman" w:hAnsi="Times New Roman"/>
          <w:sz w:val="22"/>
          <w:u w:val="single"/>
        </w:rPr>
        <w:t>SUPERCEDED AND REPLACED - the prior Master Agreement dated November 7, 1995, with Taurus Exploration, Inc. (n/k/a Energen Resources Corporation) has been superceded and replaced by an ISDA Master Agreement, dated October 18, 2000.  Therefore, (a) all existing Transactions shall constitute Transactions under this ISDA Master Agreement, and (b) all future Transactions shall be confirmed under this ISDA Master Agreement.</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EnergyOne Ventures, L.P.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EnergyUSA-TPC Corp.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Energy West Incorporated   (Enron Canada Corp.)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b/>
          <w:bCs/>
          <w:sz w:val="22"/>
        </w:rPr>
        <w:t>Engage Energy America LLC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Engage Energy Canada, L.P. (Enron Canada Corp.)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ENMAX Energy Corporation (Enron Canada Corp.)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Enserco Energy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Entergy Power Marketing Corp.</w:t>
      </w:r>
    </w:p>
    <w:p>
      <w:pPr>
        <w:pStyle w:val="Normal"/>
        <w:widowControl/>
        <w:numPr>
          <w:ilvl w:val="0"/>
          <w:numId w:val="2"/>
        </w:numPr>
        <w:jc w:val="both"/>
        <w:rPr>
          <w:rFonts w:ascii="Times New Roman" w:hAnsi="Times New Roman" w:cs="Times New Roman"/>
          <w:bCs/>
          <w:sz w:val="22"/>
        </w:rPr>
      </w:pPr>
      <w:r>
        <w:rPr>
          <w:rFonts w:cs="Times New Roman" w:ascii="Times New Roman" w:hAnsi="Times New Roman"/>
          <w:bCs/>
          <w:sz w:val="22"/>
        </w:rPr>
        <w:t>Enterprise Products Operating L.P.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Equitable Energy L.L.C.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Equity Oil Company</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EXCO Resources,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Ferrell Resources, L.L.C.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Ferrellgas, L.P. d\b\a Ferrell North America</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First Brands Corporation</w:t>
      </w:r>
    </w:p>
    <w:p>
      <w:pPr>
        <w:pStyle w:val="Normal"/>
        <w:widowControl/>
        <w:numPr>
          <w:ilvl w:val="0"/>
          <w:numId w:val="2"/>
        </w:numPr>
        <w:jc w:val="both"/>
        <w:rPr>
          <w:rFonts w:ascii="Times New Roman" w:hAnsi="Times New Roman" w:cs="Times New Roman"/>
          <w:sz w:val="22"/>
        </w:rPr>
      </w:pPr>
      <w:r>
        <w:rPr>
          <w:rFonts w:cs="Times New Roman" w:ascii="Times New Roman" w:hAnsi="Times New Roman"/>
          <w:b/>
          <w:bCs/>
          <w:sz w:val="22"/>
        </w:rPr>
        <w:t>FirstEnergy Services Corp.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First Union National Bank</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Fletcher Challenge Industries Limited (Enron Canada Corp.)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Fletcher Challenge Petroleum Corporation</w:t>
      </w:r>
    </w:p>
    <w:p>
      <w:pPr>
        <w:pStyle w:val="Normal"/>
        <w:widowControl/>
        <w:numPr>
          <w:ilvl w:val="0"/>
          <w:numId w:val="2"/>
        </w:numPr>
        <w:jc w:val="both"/>
        <w:rPr>
          <w:rFonts w:ascii="Times New Roman" w:hAnsi="Times New Roman" w:cs="Times New Roman"/>
          <w:bCs/>
          <w:sz w:val="22"/>
        </w:rPr>
      </w:pPr>
      <w:r>
        <w:rPr>
          <w:rFonts w:cs="Times New Roman" w:ascii="Times New Roman" w:hAnsi="Times New Roman"/>
          <w:bCs/>
          <w:sz w:val="22"/>
        </w:rPr>
        <w:t>Florida Power &amp; Light Company</w:t>
      </w:r>
    </w:p>
    <w:p>
      <w:pPr>
        <w:pStyle w:val="Normal"/>
        <w:widowControl/>
        <w:numPr>
          <w:ilvl w:val="0"/>
          <w:numId w:val="2"/>
        </w:numPr>
        <w:jc w:val="both"/>
        <w:rPr>
          <w:rFonts w:ascii="Times New Roman" w:hAnsi="Times New Roman" w:cs="Times New Roman"/>
          <w:bCs/>
          <w:sz w:val="22"/>
        </w:rPr>
      </w:pPr>
      <w:r>
        <w:rPr>
          <w:rFonts w:cs="Times New Roman" w:ascii="Times New Roman" w:hAnsi="Times New Roman"/>
          <w:bCs/>
          <w:sz w:val="22"/>
        </w:rPr>
        <w:t>Forcenergy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Formosa Hydrocarbons Company,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Forte Energy Ltd. (Enron Canada Corp.)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Fortis Bank (Nederland) N.V. (successor entity under the merger with MeesPierson N.V.)</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Fortune Energy Inc. (Enron Canada Corp.)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Frito-Lay,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Frontier Oil Corporation  (f\k\a Wainoco Oil Corporation)</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Fuji Capital Markets Corporation</w:t>
      </w:r>
    </w:p>
    <w:p>
      <w:pPr>
        <w:pStyle w:val="Normal"/>
        <w:widowControl/>
        <w:numPr>
          <w:ilvl w:val="0"/>
          <w:numId w:val="2"/>
        </w:numPr>
        <w:jc w:val="both"/>
        <w:rPr>
          <w:rFonts w:ascii="Times New Roman" w:hAnsi="Times New Roman" w:cs="Times New Roman"/>
          <w:sz w:val="22"/>
        </w:rPr>
      </w:pPr>
      <w:r>
        <w:rPr>
          <w:rFonts w:cs="Times New Roman" w:ascii="Times New Roman" w:hAnsi="Times New Roman"/>
          <w:b/>
          <w:bCs/>
          <w:sz w:val="22"/>
        </w:rPr>
        <w:t>Gas Natural Servicios, S.A. de C.V.</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 xml:space="preserve">Gaylord Container Corporation </w:t>
      </w:r>
    </w:p>
    <w:p>
      <w:pPr>
        <w:pStyle w:val="Normal"/>
        <w:widowControl/>
        <w:numPr>
          <w:ilvl w:val="0"/>
          <w:numId w:val="2"/>
        </w:numPr>
        <w:jc w:val="both"/>
        <w:rPr>
          <w:rFonts w:ascii="Times New Roman" w:hAnsi="Times New Roman" w:cs="Times New Roman"/>
          <w:bCs/>
          <w:sz w:val="22"/>
        </w:rPr>
      </w:pPr>
      <w:r>
        <w:rPr>
          <w:rFonts w:cs="Times New Roman" w:ascii="Times New Roman" w:hAnsi="Times New Roman"/>
          <w:bCs/>
          <w:sz w:val="22"/>
        </w:rPr>
        <w:t>General Mills Operations,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Gen Re Financial Products Corporation</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George E. Warren Corporation</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Georgia-Pacific Corporation</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Glencore, Ltd.</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Global Petroleum Corp.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Gold Kist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Goldman Sachs Capital Markets, L.P.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Goldman Sachs International  (ECT Investments)</w:t>
      </w:r>
    </w:p>
    <w:p>
      <w:pPr>
        <w:pStyle w:val="Normal"/>
        <w:widowControl/>
        <w:numPr>
          <w:ilvl w:val="0"/>
          <w:numId w:val="2"/>
        </w:numPr>
        <w:jc w:val="both"/>
        <w:rPr>
          <w:rFonts w:ascii="Times New Roman" w:hAnsi="Times New Roman" w:cs="Times New Roman"/>
          <w:bCs/>
          <w:sz w:val="22"/>
        </w:rPr>
      </w:pPr>
      <w:r>
        <w:rPr>
          <w:rFonts w:cs="Times New Roman" w:ascii="Times New Roman" w:hAnsi="Times New Roman"/>
          <w:bCs/>
          <w:sz w:val="22"/>
        </w:rPr>
        <w:t>Goodrich Petroleum Corporation</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Grupo IMSA, S.A. de C.V.</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Grupo Industrial Saltillo, S.A. de C.V.</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Gulf Canada Resources Limited  (Enron Canada Corp.)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Gulf Resources Corporation</w:t>
      </w:r>
    </w:p>
    <w:p>
      <w:pPr>
        <w:pStyle w:val="Normal"/>
        <w:widowControl/>
        <w:numPr>
          <w:ilvl w:val="0"/>
          <w:numId w:val="2"/>
        </w:numPr>
        <w:jc w:val="both"/>
        <w:rPr>
          <w:rFonts w:ascii="Times New Roman" w:hAnsi="Times New Roman" w:cs="Times New Roman"/>
          <w:bCs/>
          <w:sz w:val="22"/>
        </w:rPr>
      </w:pPr>
      <w:r>
        <w:rPr>
          <w:rFonts w:cs="Times New Roman" w:ascii="Times New Roman" w:hAnsi="Times New Roman"/>
          <w:bCs/>
          <w:sz w:val="22"/>
        </w:rPr>
        <w:t>H.Q. Energy Services (U.S.) Inc.</w:t>
      </w:r>
    </w:p>
    <w:p>
      <w:pPr>
        <w:pStyle w:val="Normal"/>
        <w:widowControl/>
        <w:numPr>
          <w:ilvl w:val="0"/>
          <w:numId w:val="2"/>
        </w:numPr>
        <w:jc w:val="both"/>
        <w:rPr>
          <w:rFonts w:ascii="Times New Roman" w:hAnsi="Times New Roman" w:cs="Times New Roman"/>
          <w:bCs/>
          <w:sz w:val="22"/>
        </w:rPr>
      </w:pPr>
      <w:r>
        <w:rPr>
          <w:rFonts w:cs="Times New Roman" w:ascii="Times New Roman" w:hAnsi="Times New Roman"/>
          <w:bCs/>
          <w:sz w:val="22"/>
        </w:rPr>
        <w:t>HS Resources, Inc.</w:t>
      </w:r>
    </w:p>
    <w:p>
      <w:pPr>
        <w:pStyle w:val="Normal"/>
        <w:widowControl/>
        <w:numPr>
          <w:ilvl w:val="0"/>
          <w:numId w:val="2"/>
        </w:numPr>
        <w:jc w:val="both"/>
        <w:rPr>
          <w:rFonts w:ascii="Times New Roman" w:hAnsi="Times New Roman" w:cs="Times New Roman"/>
          <w:bCs/>
          <w:sz w:val="22"/>
        </w:rPr>
      </w:pPr>
      <w:r>
        <w:rPr>
          <w:rFonts w:cs="Times New Roman" w:ascii="Times New Roman" w:hAnsi="Times New Roman"/>
          <w:bCs/>
          <w:sz w:val="22"/>
        </w:rPr>
        <w:t>Hallwood Energy Corporation</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Heinz Frozen Food Company  (f\k\a Ore-Ida Foods,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Hess Energy Trading Company LLC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Holly Sugar Corporation</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Home-Stake Oil &amp; Gas Company</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Houston Exploration Company (The)</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HS Energy Services,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Humble Petroleum Marketing Ltd. (Enron Canada Corp.)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Husky Oil Limited   (Enron Canada Corp.)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IDACORP Energy Solutions, L.P.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b/>
          <w:bCs/>
          <w:sz w:val="22"/>
        </w:rPr>
        <w:t>Industrias Penoles, S.A. de C.V.</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Inland Production Company</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Internationale Nederlanden Bank N.V., New York Branch</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Intrepid Oil &amp; Gas LLC</w:t>
      </w:r>
    </w:p>
    <w:p>
      <w:pPr>
        <w:pStyle w:val="Normal"/>
        <w:widowControl/>
        <w:numPr>
          <w:ilvl w:val="0"/>
          <w:numId w:val="2"/>
        </w:numPr>
        <w:jc w:val="both"/>
        <w:rPr>
          <w:rFonts w:ascii="Times New Roman" w:hAnsi="Times New Roman" w:cs="Times New Roman"/>
          <w:bCs/>
          <w:sz w:val="22"/>
        </w:rPr>
      </w:pPr>
      <w:r>
        <w:rPr>
          <w:rFonts w:cs="Times New Roman" w:ascii="Times New Roman" w:hAnsi="Times New Roman"/>
          <w:bCs/>
          <w:sz w:val="22"/>
        </w:rPr>
        <w:t>Irving Pulp &amp; Paper, Limited  (now ENA formerly Enron Canada Corp.)</w:t>
      </w:r>
    </w:p>
    <w:p>
      <w:pPr>
        <w:pStyle w:val="Normal"/>
        <w:widowControl/>
        <w:numPr>
          <w:ilvl w:val="0"/>
          <w:numId w:val="3"/>
        </w:numPr>
        <w:jc w:val="both"/>
        <w:rPr>
          <w:rFonts w:ascii="Times New Roman" w:hAnsi="Times New Roman" w:cs="Times New Roman"/>
          <w:sz w:val="22"/>
        </w:rPr>
      </w:pPr>
      <w:r>
        <w:rPr>
          <w:rFonts w:cs="Times New Roman" w:ascii="Times New Roman" w:hAnsi="Times New Roman"/>
          <w:sz w:val="22"/>
        </w:rPr>
        <w:t>J. Aron &amp; Company</w:t>
      </w:r>
    </w:p>
    <w:p>
      <w:pPr>
        <w:pStyle w:val="Normal"/>
        <w:widowControl/>
        <w:numPr>
          <w:ilvl w:val="0"/>
          <w:numId w:val="3"/>
        </w:numPr>
        <w:jc w:val="both"/>
        <w:rPr>
          <w:rFonts w:ascii="Times New Roman" w:hAnsi="Times New Roman" w:cs="Times New Roman"/>
          <w:sz w:val="22"/>
        </w:rPr>
      </w:pPr>
      <w:r>
        <w:rPr>
          <w:rFonts w:cs="Times New Roman" w:ascii="Times New Roman" w:hAnsi="Times New Roman"/>
          <w:sz w:val="22"/>
        </w:rPr>
        <w:t>J.M. Huber Corporation</w:t>
      </w:r>
    </w:p>
    <w:p>
      <w:pPr>
        <w:pStyle w:val="Normal"/>
        <w:widowControl/>
        <w:numPr>
          <w:ilvl w:val="0"/>
          <w:numId w:val="3"/>
        </w:numPr>
        <w:jc w:val="both"/>
        <w:rPr>
          <w:rFonts w:ascii="Times New Roman" w:hAnsi="Times New Roman" w:cs="Times New Roman"/>
          <w:sz w:val="22"/>
        </w:rPr>
      </w:pPr>
      <w:r>
        <w:rPr>
          <w:rFonts w:cs="Times New Roman" w:ascii="Times New Roman" w:hAnsi="Times New Roman"/>
          <w:sz w:val="22"/>
        </w:rPr>
        <w:t>JN Exploration &amp; Production Limited Partnership</w:t>
      </w:r>
    </w:p>
    <w:p>
      <w:pPr>
        <w:pStyle w:val="Normal"/>
        <w:widowControl/>
        <w:numPr>
          <w:ilvl w:val="0"/>
          <w:numId w:val="3"/>
        </w:numPr>
        <w:jc w:val="both"/>
        <w:rPr>
          <w:rFonts w:ascii="Times New Roman" w:hAnsi="Times New Roman" w:cs="Times New Roman"/>
          <w:sz w:val="22"/>
        </w:rPr>
      </w:pPr>
      <w:r>
        <w:rPr>
          <w:rFonts w:cs="Times New Roman" w:ascii="Times New Roman" w:hAnsi="Times New Roman"/>
          <w:sz w:val="22"/>
        </w:rPr>
        <w:t>Jaguar Fund N.V. (The) – INACTIVE</w:t>
      </w:r>
    </w:p>
    <w:p>
      <w:pPr>
        <w:pStyle w:val="Normal"/>
        <w:widowControl/>
        <w:numPr>
          <w:ilvl w:val="0"/>
          <w:numId w:val="3"/>
        </w:numPr>
        <w:jc w:val="both"/>
        <w:rPr>
          <w:rFonts w:ascii="Times New Roman" w:hAnsi="Times New Roman" w:cs="Times New Roman"/>
          <w:sz w:val="22"/>
        </w:rPr>
      </w:pPr>
      <w:r>
        <w:rPr>
          <w:rFonts w:cs="Times New Roman" w:ascii="Times New Roman" w:hAnsi="Times New Roman"/>
          <w:sz w:val="22"/>
        </w:rPr>
        <w:t>James Hardie Australia Finance Pty. Limited</w:t>
      </w:r>
    </w:p>
    <w:p>
      <w:pPr>
        <w:pStyle w:val="Normal"/>
        <w:widowControl/>
        <w:numPr>
          <w:ilvl w:val="0"/>
          <w:numId w:val="3"/>
        </w:numPr>
        <w:jc w:val="both"/>
        <w:rPr>
          <w:rFonts w:ascii="Times New Roman" w:hAnsi="Times New Roman" w:cs="Times New Roman"/>
          <w:sz w:val="22"/>
        </w:rPr>
      </w:pPr>
      <w:r>
        <w:rPr>
          <w:rFonts w:cs="Times New Roman" w:ascii="Times New Roman" w:hAnsi="Times New Roman"/>
          <w:sz w:val="22"/>
        </w:rPr>
        <w:t xml:space="preserve">Jefferson Smurfit Corporation (U.S.) </w:t>
      </w:r>
    </w:p>
    <w:p>
      <w:pPr>
        <w:pStyle w:val="Normal"/>
        <w:widowControl/>
        <w:numPr>
          <w:ilvl w:val="0"/>
          <w:numId w:val="3"/>
        </w:numPr>
        <w:jc w:val="both"/>
        <w:rPr>
          <w:rFonts w:ascii="Times New Roman" w:hAnsi="Times New Roman" w:cs="Times New Roman"/>
          <w:sz w:val="22"/>
        </w:rPr>
      </w:pPr>
      <w:r>
        <w:rPr>
          <w:rFonts w:cs="Times New Roman" w:ascii="Times New Roman" w:hAnsi="Times New Roman"/>
          <w:sz w:val="22"/>
        </w:rPr>
        <w:t>Joint Energy Development Investments Limited Partnership</w:t>
      </w:r>
    </w:p>
    <w:p>
      <w:pPr>
        <w:pStyle w:val="Normal"/>
        <w:widowControl/>
        <w:numPr>
          <w:ilvl w:val="0"/>
          <w:numId w:val="3"/>
        </w:numPr>
        <w:jc w:val="both"/>
        <w:rPr>
          <w:rFonts w:ascii="Times New Roman" w:hAnsi="Times New Roman" w:cs="Times New Roman"/>
          <w:sz w:val="22"/>
        </w:rPr>
      </w:pPr>
      <w:r>
        <w:rPr>
          <w:rFonts w:cs="Times New Roman" w:ascii="Times New Roman" w:hAnsi="Times New Roman"/>
          <w:sz w:val="22"/>
        </w:rPr>
        <w:t>Jolliet Energy Resources Inc. (Enron Canada Corp.)</w:t>
      </w:r>
    </w:p>
    <w:p>
      <w:pPr>
        <w:pStyle w:val="Normal"/>
        <w:widowControl/>
        <w:numPr>
          <w:ilvl w:val="0"/>
          <w:numId w:val="3"/>
        </w:numPr>
        <w:jc w:val="both"/>
        <w:rPr>
          <w:rFonts w:ascii="Times New Roman" w:hAnsi="Times New Roman" w:cs="Times New Roman"/>
          <w:bCs/>
          <w:sz w:val="22"/>
        </w:rPr>
      </w:pPr>
      <w:r>
        <w:rPr>
          <w:rFonts w:cs="Times New Roman" w:ascii="Times New Roman" w:hAnsi="Times New Roman"/>
          <w:sz w:val="22"/>
        </w:rPr>
        <w:t>KCS Energy Marketing Inc.</w:t>
      </w:r>
    </w:p>
    <w:p>
      <w:pPr>
        <w:pStyle w:val="Normal"/>
        <w:widowControl/>
        <w:numPr>
          <w:ilvl w:val="0"/>
          <w:numId w:val="3"/>
        </w:numPr>
        <w:jc w:val="both"/>
        <w:rPr>
          <w:rFonts w:ascii="Times New Roman" w:hAnsi="Times New Roman" w:cs="Times New Roman"/>
          <w:bCs/>
          <w:sz w:val="22"/>
        </w:rPr>
      </w:pPr>
      <w:r>
        <w:rPr>
          <w:rFonts w:cs="Times New Roman" w:ascii="Times New Roman" w:hAnsi="Times New Roman"/>
          <w:bCs/>
          <w:sz w:val="22"/>
        </w:rPr>
        <w:t>KLT Inc.</w:t>
      </w:r>
    </w:p>
    <w:p>
      <w:pPr>
        <w:pStyle w:val="Normal"/>
        <w:widowControl/>
        <w:numPr>
          <w:ilvl w:val="0"/>
          <w:numId w:val="3"/>
        </w:numPr>
        <w:jc w:val="both"/>
        <w:rPr>
          <w:rFonts w:ascii="Times New Roman" w:hAnsi="Times New Roman" w:cs="Times New Roman"/>
          <w:bCs/>
          <w:sz w:val="22"/>
        </w:rPr>
      </w:pPr>
      <w:r>
        <w:rPr>
          <w:rFonts w:cs="Times New Roman" w:ascii="Times New Roman" w:hAnsi="Times New Roman"/>
          <w:bCs/>
          <w:sz w:val="22"/>
        </w:rPr>
        <w:t>Kellogg Company</w:t>
      </w:r>
    </w:p>
    <w:p>
      <w:pPr>
        <w:pStyle w:val="Normal"/>
        <w:widowControl/>
        <w:numPr>
          <w:ilvl w:val="0"/>
          <w:numId w:val="3"/>
        </w:numPr>
        <w:jc w:val="both"/>
        <w:rPr>
          <w:rFonts w:ascii="Times New Roman" w:hAnsi="Times New Roman" w:cs="Times New Roman"/>
          <w:sz w:val="22"/>
        </w:rPr>
      </w:pPr>
      <w:r>
        <w:rPr>
          <w:rFonts w:cs="Times New Roman" w:ascii="Times New Roman" w:hAnsi="Times New Roman"/>
          <w:sz w:val="22"/>
        </w:rPr>
        <w:t>Kildair Service Ltee</w:t>
      </w:r>
    </w:p>
    <w:p>
      <w:pPr>
        <w:pStyle w:val="Normal"/>
        <w:widowControl/>
        <w:numPr>
          <w:ilvl w:val="0"/>
          <w:numId w:val="3"/>
        </w:numPr>
        <w:jc w:val="both"/>
        <w:rPr>
          <w:rFonts w:ascii="Times New Roman" w:hAnsi="Times New Roman" w:cs="Times New Roman"/>
          <w:sz w:val="22"/>
        </w:rPr>
      </w:pPr>
      <w:r>
        <w:rPr>
          <w:rFonts w:cs="Times New Roman" w:ascii="Times New Roman" w:hAnsi="Times New Roman"/>
          <w:sz w:val="22"/>
        </w:rPr>
        <w:t>Kinder Morgan, Inc.</w:t>
      </w:r>
    </w:p>
    <w:p>
      <w:pPr>
        <w:pStyle w:val="Normal"/>
        <w:widowControl/>
        <w:numPr>
          <w:ilvl w:val="0"/>
          <w:numId w:val="3"/>
        </w:numPr>
        <w:jc w:val="both"/>
        <w:rPr>
          <w:rFonts w:ascii="Times New Roman" w:hAnsi="Times New Roman" w:cs="Times New Roman"/>
          <w:sz w:val="22"/>
        </w:rPr>
      </w:pPr>
      <w:r>
        <w:rPr>
          <w:rFonts w:cs="Times New Roman" w:ascii="Times New Roman" w:hAnsi="Times New Roman"/>
          <w:sz w:val="22"/>
        </w:rPr>
        <w:t>King Ranch Oil and Gas, Inc.</w:t>
      </w:r>
    </w:p>
    <w:p>
      <w:pPr>
        <w:pStyle w:val="Normal"/>
        <w:widowControl/>
        <w:numPr>
          <w:ilvl w:val="0"/>
          <w:numId w:val="3"/>
        </w:numPr>
        <w:jc w:val="both"/>
        <w:rPr>
          <w:rFonts w:ascii="Times New Roman" w:hAnsi="Times New Roman" w:cs="Times New Roman"/>
          <w:sz w:val="22"/>
        </w:rPr>
      </w:pPr>
      <w:r>
        <w:rPr>
          <w:rFonts w:cs="Times New Roman" w:ascii="Times New Roman" w:hAnsi="Times New Roman"/>
          <w:sz w:val="22"/>
        </w:rPr>
        <w:t>Knight-Ridder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Koch Energy Trading, Inc. – INACTIVE</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Koch Industries, Inc., acting through its Koch Hydrocarbons Company Division</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LG&amp;E Energy Marketing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Lehman Brothers Commercial Corporation</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Lehman Brothers Finance S.A. (Enron Corp.) (</w:t>
      </w:r>
      <w:r>
        <w:rPr>
          <w:rFonts w:cs="Times New Roman" w:ascii="Times New Roman" w:hAnsi="Times New Roman"/>
          <w:sz w:val="22"/>
          <w:u w:val="single"/>
        </w:rPr>
        <w:t>approved for equity transactions only -- NO COMMODITY TRANSACTIONS)</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Lehman Brothers Special Financing Inc.   (</w:t>
      </w:r>
      <w:r>
        <w:rPr>
          <w:rFonts w:cs="Times New Roman" w:ascii="Times New Roman" w:hAnsi="Times New Roman"/>
          <w:sz w:val="22"/>
          <w:u w:val="single"/>
        </w:rPr>
        <w:t>approved for weather, interest rate, FX and Currency Option transactions -- NO COMMODITY TRANSACTIONS</w:t>
      </w:r>
      <w:r>
        <w:rPr>
          <w:rFonts w:cs="Times New Roman" w:ascii="Times New Roman" w:hAnsi="Times New Roman"/>
          <w:sz w:val="22"/>
        </w:rPr>
        <w:t>)</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Lillian Vernon Corporation</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Lion L.P. – INACTIVE</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Louis Dreyfus Corporation</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Louis Dreyfus Energy Corp. (Citrus Marketing,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Louis Dreyfus Natural Gas Corp.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Louisiana Land and Exploration Company (The)</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Louisiana-Pacific Corporation</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Lyco Energy Corporation</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MG Natural Gas Corp.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Macromedia Incorporated</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Manti Resources,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Mariner Energy, Inc.</w:t>
      </w:r>
    </w:p>
    <w:p>
      <w:pPr>
        <w:pStyle w:val="Normal"/>
        <w:widowControl/>
        <w:numPr>
          <w:ilvl w:val="0"/>
          <w:numId w:val="2"/>
        </w:numPr>
        <w:jc w:val="both"/>
        <w:rPr>
          <w:rFonts w:ascii="Times New Roman" w:hAnsi="Times New Roman" w:cs="Times New Roman"/>
          <w:sz w:val="22"/>
          <w:u w:val="single"/>
        </w:rPr>
      </w:pPr>
      <w:r>
        <w:rPr>
          <w:rFonts w:cs="Times New Roman" w:ascii="Times New Roman" w:hAnsi="Times New Roman"/>
          <w:sz w:val="22"/>
        </w:rPr>
        <w:t>Markwest Hydrocarbon, Inc. --</w:t>
      </w:r>
      <w:r>
        <w:rPr>
          <w:rFonts w:cs="Times New Roman" w:ascii="Times New Roman" w:hAnsi="Times New Roman"/>
          <w:sz w:val="22"/>
          <w:u w:val="single"/>
        </w:rPr>
        <w:t xml:space="preserve"> SUPERCEDED AND REPLACED - the prior Master Agreement dated October 11, 1996, has been superceded and replaced by an ISDA Master Agreement, dated June 29, 2000.   Therefore, (a) all existing Transactions shall constitute Transactions under this ISDA Master Agreement, and (b) all future Transactions shall be confirmed under this ISDA Master Agreement. </w:t>
      </w:r>
    </w:p>
    <w:p>
      <w:pPr>
        <w:pStyle w:val="BodyTextIndent"/>
        <w:numPr>
          <w:ilvl w:val="0"/>
          <w:numId w:val="2"/>
        </w:numPr>
        <w:rPr>
          <w:b w:val="false"/>
          <w:i w:val="false"/>
          <w:i w:val="false"/>
        </w:rPr>
      </w:pPr>
      <w:r>
        <w:rPr>
          <w:b w:val="false"/>
          <w:i w:val="false"/>
        </w:rPr>
        <w:t>Marsh, Tom F., a natural person     (</w:t>
      </w:r>
      <w:r>
        <w:rPr>
          <w:b w:val="false"/>
          <w:i w:val="false"/>
          <w:u w:val="single"/>
        </w:rPr>
        <w:t>Counterparty can only offer options to ENA; ENA cannot offer options to Counterparty.  No other transactions are permitted.  Only Tom F. Marsh, Joe  Coffman (agent and attorney-in-fact) or James C. Crain (agent and attorney-in-fact) are authorized to trade on this account.</w:t>
      </w:r>
      <w:r>
        <w:rPr>
          <w:b w:val="false"/>
          <w:i w:val="false"/>
        </w:rPr>
        <w:t>)</w:t>
      </w:r>
    </w:p>
    <w:p>
      <w:pPr>
        <w:pStyle w:val="Normal"/>
        <w:widowControl/>
        <w:numPr>
          <w:ilvl w:val="0"/>
          <w:numId w:val="2"/>
        </w:numPr>
        <w:jc w:val="both"/>
        <w:rPr>
          <w:sz w:val="22"/>
        </w:rPr>
      </w:pPr>
      <w:r>
        <w:rPr>
          <w:sz w:val="22"/>
        </w:rPr>
        <w:t>Marsh, Tom F., General Trustee of the (i) Tennessee Estelle Marsh Trust, (ii) the Charles Andrew Marsh Trust and (iii) the Charlene Catharine Marsh Trust, collectively doing business (by and through said General Trustee) as the Tom F. Marsh Special Trust        (</w:t>
      </w:r>
      <w:r>
        <w:rPr>
          <w:sz w:val="22"/>
          <w:u w:val="single"/>
        </w:rPr>
        <w:t>Counterparty can only offer options to ENA; ENA cannot offer options to Counterparty.  No other transactions are permitted.</w:t>
      </w:r>
      <w:r>
        <w:rPr>
          <w:sz w:val="22"/>
        </w:rPr>
        <w:t>)</w:t>
      </w:r>
    </w:p>
    <w:p>
      <w:pPr>
        <w:pStyle w:val="Normal"/>
        <w:widowControl/>
        <w:numPr>
          <w:ilvl w:val="0"/>
          <w:numId w:val="2"/>
        </w:numPr>
        <w:jc w:val="both"/>
        <w:rPr>
          <w:sz w:val="22"/>
        </w:rPr>
      </w:pPr>
      <w:r>
        <w:rPr>
          <w:sz w:val="22"/>
        </w:rPr>
        <w:t>McMurray Oil Company</w:t>
      </w:r>
    </w:p>
    <w:p>
      <w:pPr>
        <w:pStyle w:val="Normal"/>
        <w:widowControl/>
        <w:numPr>
          <w:ilvl w:val="0"/>
          <w:numId w:val="2"/>
        </w:numPr>
        <w:jc w:val="both"/>
        <w:rPr>
          <w:bCs/>
          <w:sz w:val="22"/>
        </w:rPr>
      </w:pPr>
      <w:r>
        <w:rPr>
          <w:bCs/>
          <w:sz w:val="22"/>
        </w:rPr>
        <w:t>Media General, Inc.</w:t>
      </w:r>
    </w:p>
    <w:p>
      <w:pPr>
        <w:pStyle w:val="Normal"/>
        <w:widowControl/>
        <w:numPr>
          <w:ilvl w:val="0"/>
          <w:numId w:val="2"/>
        </w:numPr>
        <w:jc w:val="both"/>
        <w:rPr>
          <w:bCs/>
          <w:sz w:val="22"/>
        </w:rPr>
      </w:pPr>
      <w:r>
        <w:rPr>
          <w:bCs/>
          <w:sz w:val="22"/>
        </w:rPr>
        <w:t xml:space="preserve">MediaNews Group, Inc. (f\k\a </w:t>
      </w:r>
      <w:r>
        <w:rPr>
          <w:rFonts w:cs="Times New Roman" w:ascii="Times New Roman" w:hAnsi="Times New Roman"/>
          <w:bCs/>
          <w:sz w:val="22"/>
        </w:rPr>
        <w:t xml:space="preserve">Affiliated Newspapers Investments, Inc.) </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Mellon Bank, N.A.</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Mercado Gas Services,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Merced Irrigation District</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Merchant Energy Group of the Americas,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Meridian Ventures I, L.P.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Merit Energy Partners III, L.P.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Merit Energy Partners VIII, L.P.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Merit Energy Partners IX, L.P.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Merit Energy Partners X, L.P.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Merit Energy Partners A, L.P.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Merit Energy Partners B, L.P.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Merit Partners, L.P.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Merit Energy Partners C-I, L.P.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Merit Energy Partners C-II, L.P.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Merita Bank Plc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Merrill Lynch Capital Services, Inc. (see entry for Allegheny Energy Supply Company, LLC)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Merrill Lynch International Bank</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Merrill Lynch International (</w:t>
      </w:r>
      <w:r>
        <w:rPr>
          <w:rFonts w:cs="Times New Roman" w:ascii="Times New Roman" w:hAnsi="Times New Roman"/>
          <w:sz w:val="22"/>
          <w:u w:val="single"/>
        </w:rPr>
        <w:t>approved for equity derivatives only--NO COMMODITY TRANSACTIONS)</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Mesa Operating Company</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Methanex Corp. (Enron Canada Corp.)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b/>
          <w:bCs/>
          <w:sz w:val="22"/>
        </w:rPr>
        <w:t>Mexichem, S.A. de C.V.</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MidAmerican Energy Company</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 xml:space="preserve">Midcoast Marketing, Inc.  </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Middle Bay Oil Company,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Midland Bank plc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Midland Resources,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 xml:space="preserve">Mieco Inc. </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Miles Kimball Company</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Minnesota Mining &amp; Manufacturing Company</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Mississippi Chemical Corporation</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Montello Oil Corporation</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Morgan Guaranty Trust Company of New York</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Morgan Guaranty Trust Company of New York (ECT Investments)</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Morgan Stanley Capital Group,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 xml:space="preserve">NGTS LLC </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 xml:space="preserve">NJR Energy Corporation </w:t>
      </w:r>
      <w:r>
        <w:rPr>
          <w:rFonts w:cs="Times New Roman" w:ascii="Times New Roman" w:hAnsi="Times New Roman"/>
          <w:sz w:val="22"/>
          <w:u w:val="single"/>
        </w:rPr>
        <w:t>(This Agreement is limited in authority and does not permit unlimited trading or oral trading.  Trades must be in writing and signed by the Treasurer of NJR</w:t>
      </w:r>
      <w:r>
        <w:rPr>
          <w:rFonts w:cs="Times New Roman" w:ascii="Times New Roman" w:hAnsi="Times New Roman"/>
          <w:sz w:val="22"/>
        </w:rPr>
        <w:t>)</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NUI Energy Brokers, Inc.</w:t>
      </w:r>
    </w:p>
    <w:p>
      <w:pPr>
        <w:pStyle w:val="Normal"/>
        <w:widowControl/>
        <w:numPr>
          <w:ilvl w:val="0"/>
          <w:numId w:val="2"/>
        </w:numPr>
        <w:jc w:val="both"/>
        <w:rPr>
          <w:rFonts w:ascii="Times New Roman" w:hAnsi="Times New Roman" w:cs="Times New Roman"/>
          <w:bCs/>
          <w:sz w:val="22"/>
        </w:rPr>
      </w:pPr>
      <w:r>
        <w:rPr>
          <w:rFonts w:cs="Times New Roman" w:ascii="Times New Roman" w:hAnsi="Times New Roman"/>
          <w:bCs/>
          <w:sz w:val="22"/>
        </w:rPr>
        <w:t>National Australia Bank Limited  (</w:t>
      </w:r>
      <w:r>
        <w:rPr>
          <w:rFonts w:cs="Times New Roman" w:ascii="Times New Roman" w:hAnsi="Times New Roman"/>
          <w:bCs/>
          <w:sz w:val="22"/>
          <w:u w:val="single"/>
        </w:rPr>
        <w:t>approved for Interest rate, currency and FX transactions only  -- NO COMMODITY TRANSACTIONS</w:t>
      </w:r>
      <w:r>
        <w:rPr>
          <w:rFonts w:cs="Times New Roman" w:ascii="Times New Roman" w:hAnsi="Times New Roman"/>
          <w:bCs/>
          <w:sz w:val="22"/>
        </w:rPr>
        <w:t>)</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National Bank of Canada</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National Fuel Marketing Company</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National Gypsum Company</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National Westminster Bank PLC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Neumin Production Co.</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New Power Company (The)</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New York Times Company (The)</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Noble Gas Marketing,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Norampac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Nornew,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Norse Exploration,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North Coast Energy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North Pacific Group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North Texas Gas Partners, Ltd.</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Northeast Energy Associates, a Limited Partnership and North Jersey Energy Associates, a Limited Partnership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Northern Illinois Gas Company d/b/a Nicor Gas Company</w:t>
      </w:r>
    </w:p>
    <w:p>
      <w:pPr>
        <w:pStyle w:val="Normal"/>
        <w:widowControl/>
        <w:numPr>
          <w:ilvl w:val="0"/>
          <w:numId w:val="2"/>
        </w:numPr>
        <w:jc w:val="both"/>
        <w:rPr>
          <w:rFonts w:ascii="Times New Roman" w:hAnsi="Times New Roman" w:cs="Times New Roman"/>
          <w:b/>
          <w:bCs/>
          <w:sz w:val="22"/>
        </w:rPr>
      </w:pPr>
      <w:r>
        <w:rPr>
          <w:rFonts w:cs="Times New Roman" w:ascii="Times New Roman" w:hAnsi="Times New Roman"/>
          <w:b/>
          <w:bCs/>
          <w:sz w:val="22"/>
        </w:rPr>
        <w:t xml:space="preserve">Northrock Resources Ltd. (Enron Canada Corp.) – TERMINATED </w:t>
      </w:r>
      <w:r>
        <w:rPr>
          <w:rFonts w:cs="Times New Roman" w:ascii="Times New Roman" w:hAnsi="Times New Roman"/>
          <w:b/>
          <w:bCs/>
          <w:i/>
          <w:iCs/>
          <w:sz w:val="22"/>
        </w:rPr>
        <w:t>(the ISDA Master Agreement dated November 26, 1995 has been terminated)—</w:t>
      </w:r>
      <w:r>
        <w:rPr>
          <w:rFonts w:cs="Times New Roman" w:ascii="Times New Roman" w:hAnsi="Times New Roman"/>
          <w:b/>
          <w:bCs/>
          <w:sz w:val="22"/>
        </w:rPr>
        <w:t>THIS ENTRY WILL BE DELETED FROM THE JULY LIST</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Northville Industries Corp.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NOVA Chemicals (Canada) Ltd.</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NOVA Chemicals Corporation   (Enron Canada Corp.)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Nuevo Energy Company</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OGE Energy Resources,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Ocean Energy, Inc. (f\k\a Flores &amp; Rucks,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Ocelot Partners L.P. – INACTIVE</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Ocelot (Cayman) Ltd. – INACTIVE</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Occidental Energy Marketing, Inc. (ISDA Master Agreement with OXY USA Inc., dated December 1, 1993, and all transactions thereunder, have been assigned to Occidental Energy Marketing,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Oiltec Resources Ltd. (Enron Canada Corp.)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Olin Corporation</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Olympic Steel,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ONEOK Energy Marketing and Trading Company, L.P. (successor by assignment from ONEOK Energy Marketing and Trading Company II (f/k/a Oneok Gas Marketing Company))</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Ospraie Portfolio Ltd. (The)</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PCS Nitrogen Fertilizer, L.P.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PG&amp;E Energy Trading, Canada Corporation   (Enron Canada Corp.)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PG&amp;E Energy Trading Corporation</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PG&amp;E Energy Trading-Gas Corporation</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P.M.I. Trading, Ltd.</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PPG Industries,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PXRE Corporation  (</w:t>
      </w:r>
      <w:r>
        <w:rPr>
          <w:rFonts w:cs="Times New Roman" w:ascii="Times New Roman" w:hAnsi="Times New Roman"/>
          <w:sz w:val="22"/>
          <w:u w:val="single"/>
        </w:rPr>
        <w:t>Weather deals only</w:t>
      </w:r>
      <w:r>
        <w:rPr>
          <w:rFonts w:cs="Times New Roman" w:ascii="Times New Roman" w:hAnsi="Times New Roman"/>
          <w:sz w:val="22"/>
        </w:rPr>
        <w:t>)</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Pacific Forest Resources</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Palladium Insurance Limited  (</w:t>
      </w:r>
      <w:r>
        <w:rPr>
          <w:rFonts w:cs="Times New Roman" w:ascii="Times New Roman" w:hAnsi="Times New Roman"/>
          <w:sz w:val="22"/>
          <w:u w:val="single"/>
        </w:rPr>
        <w:t>Weather deals only</w:t>
      </w:r>
      <w:r>
        <w:rPr>
          <w:rFonts w:cs="Times New Roman" w:ascii="Times New Roman" w:hAnsi="Times New Roman"/>
          <w:sz w:val="22"/>
        </w:rPr>
        <w:t>)</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 xml:space="preserve">PanCanadian Energy Services Inc.  </w:t>
      </w:r>
      <w:r>
        <w:rPr>
          <w:rFonts w:cs="Times New Roman" w:ascii="Times New Roman" w:hAnsi="Times New Roman"/>
          <w:i/>
          <w:iCs/>
          <w:sz w:val="22"/>
          <w:u w:val="single"/>
        </w:rPr>
        <w:t>(FX deals also permitted)</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PanCanadian Petroleum Limited (Enron Canada Corp.)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Panther LLC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Papier Masson Ltee. (Enron Canada Corp.)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Par-Pak Ltd.</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Peltz Group, Inc.  (The)</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Penn West Petroleum</w:t>
      </w:r>
    </w:p>
    <w:p>
      <w:pPr>
        <w:pStyle w:val="Normal"/>
        <w:widowControl/>
        <w:numPr>
          <w:ilvl w:val="0"/>
          <w:numId w:val="2"/>
        </w:numPr>
        <w:jc w:val="both"/>
        <w:rPr>
          <w:rFonts w:ascii="Times New Roman" w:hAnsi="Times New Roman" w:cs="Times New Roman"/>
          <w:bCs/>
          <w:sz w:val="22"/>
        </w:rPr>
      </w:pPr>
      <w:r>
        <w:rPr>
          <w:rFonts w:cs="Times New Roman" w:ascii="Times New Roman" w:hAnsi="Times New Roman"/>
          <w:bCs/>
          <w:sz w:val="22"/>
        </w:rPr>
        <w:t>Peoples Energy Corporation</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Petro-Canada   (Enron Canada Corp.)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Petro-Hunt Corporation</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Petroglyph Energy, Inc. (f\k\a Petroglyph Gas Partners, L.P.)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Petrous, L.L.C.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Phibro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Pickens, T. Boone   (</w:t>
      </w:r>
      <w:r>
        <w:rPr>
          <w:rFonts w:cs="Times New Roman" w:ascii="Times New Roman" w:hAnsi="Times New Roman"/>
          <w:sz w:val="22"/>
          <w:u w:val="single"/>
        </w:rPr>
        <w:t>Only T. Boone Pickens, Ronald D. Bassett (as agent and attorney-in-fact) and Mike Larson (as agent and attorney-in-fact) are authorized to trade on this account.</w:t>
      </w:r>
      <w:r>
        <w:rPr>
          <w:rFonts w:cs="Times New Roman" w:ascii="Times New Roman" w:hAnsi="Times New Roman"/>
          <w:sz w:val="22"/>
        </w:rPr>
        <w:t>)</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Pinnacle Resources Ltd.   (Enron Canada Corp.)   (</w:t>
      </w:r>
      <w:r>
        <w:rPr>
          <w:rFonts w:cs="Times New Roman" w:ascii="Times New Roman" w:hAnsi="Times New Roman"/>
          <w:sz w:val="22"/>
          <w:u w:val="single"/>
        </w:rPr>
        <w:t>Trades may not exceed two (2) years)</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 xml:space="preserve">Pioneer Energy Marketing Company, Inc. </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Plains Resources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Portland General Electric Company</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Power Authority of the State of New York</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Praxair, Inc</w:t>
      </w:r>
      <w:r>
        <w:rPr>
          <w:rFonts w:cs="Times New Roman" w:ascii="Times New Roman" w:hAnsi="Times New Roman"/>
          <w:b/>
          <w:sz w:val="22"/>
        </w:rPr>
        <w:t xml:space="preserve">.  </w:t>
      </w:r>
      <w:r>
        <w:rPr>
          <w:rFonts w:cs="Times New Roman" w:ascii="Times New Roman" w:hAnsi="Times New Roman"/>
          <w:sz w:val="22"/>
        </w:rPr>
        <w:t>(</w:t>
      </w:r>
      <w:r>
        <w:rPr>
          <w:rFonts w:cs="Times New Roman" w:ascii="Times New Roman" w:hAnsi="Times New Roman"/>
          <w:sz w:val="22"/>
          <w:u w:val="single"/>
        </w:rPr>
        <w:t>Natural gas transactions only</w:t>
      </w:r>
      <w:r>
        <w:rPr>
          <w:rFonts w:cs="Times New Roman" w:ascii="Times New Roman" w:hAnsi="Times New Roman"/>
          <w:sz w:val="22"/>
        </w:rPr>
        <w:t>)</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 xml:space="preserve">President and Fellows of Harvard College  </w:t>
      </w:r>
      <w:r>
        <w:rPr>
          <w:rFonts w:cs="Times New Roman" w:ascii="Times New Roman" w:hAnsi="Times New Roman"/>
          <w:i/>
          <w:iCs/>
          <w:sz w:val="22"/>
          <w:u w:val="single"/>
        </w:rPr>
        <w:t>(all products-commodities, FX &amp; equity deals)</w:t>
      </w:r>
    </w:p>
    <w:p>
      <w:pPr>
        <w:pStyle w:val="Normal"/>
        <w:widowControl/>
        <w:numPr>
          <w:ilvl w:val="0"/>
          <w:numId w:val="2"/>
        </w:numPr>
        <w:jc w:val="both"/>
        <w:rPr>
          <w:rFonts w:ascii="Times New Roman" w:hAnsi="Times New Roman" w:cs="Times New Roman"/>
          <w:i/>
          <w:i/>
          <w:iCs/>
          <w:sz w:val="22"/>
        </w:rPr>
      </w:pPr>
      <w:r>
        <w:rPr>
          <w:rFonts w:cs="Times New Roman" w:ascii="Times New Roman" w:hAnsi="Times New Roman"/>
          <w:sz w:val="22"/>
        </w:rPr>
        <w:t xml:space="preserve">Preston Exploration Company, L.P.   </w:t>
      </w:r>
      <w:r>
        <w:rPr>
          <w:rFonts w:cs="Times New Roman" w:ascii="Times New Roman" w:hAnsi="Times New Roman"/>
          <w:i/>
          <w:iCs/>
          <w:sz w:val="22"/>
          <w:u w:val="single"/>
        </w:rPr>
        <w:t>(approved for energy commodities only)</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Preussag North America,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Pride International,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 xml:space="preserve">Prior Energy Corporation -- SUPERCEDED AND REPLACED - </w:t>
      </w:r>
      <w:r>
        <w:rPr>
          <w:rFonts w:cs="Times New Roman" w:ascii="Times New Roman" w:hAnsi="Times New Roman"/>
          <w:i/>
          <w:iCs/>
          <w:sz w:val="22"/>
        </w:rPr>
        <w:t xml:space="preserve">the prior Master Agreement dated May 1, 1997, has been superceded and replaced by an ISDA Master Agreement, dated April 10, 2001.   </w:t>
      </w:r>
      <w:r>
        <w:rPr>
          <w:rFonts w:cs="Times New Roman" w:ascii="Times New Roman" w:hAnsi="Times New Roman"/>
          <w:i/>
          <w:iCs/>
          <w:sz w:val="22"/>
          <w:u w:val="single"/>
        </w:rPr>
        <w:t>Therefore, (a) all existing Transactions shall constitute Transactions under this ISDA Master Agreement, and (b) all future Transactions shall be confirmed under this ISDA Master Agreement</w:t>
      </w:r>
      <w:r>
        <w:rPr>
          <w:rFonts w:cs="Times New Roman" w:ascii="Times New Roman" w:hAnsi="Times New Roman"/>
          <w:i/>
          <w:iCs/>
          <w:sz w:val="22"/>
        </w:rPr>
        <w:t>.</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Public Service Company of Colorado</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 xml:space="preserve">PSEG Energy Resources &amp; Trade LLC </w:t>
      </w:r>
      <w:r>
        <w:rPr>
          <w:rFonts w:cs="Times New Roman" w:ascii="Times New Roman" w:hAnsi="Times New Roman"/>
          <w:sz w:val="22"/>
          <w:u w:val="single"/>
        </w:rPr>
        <w:t>(pursuant to: (a) Notice of Assignment, and (b) Amendment No.1, Public Service Electric and Gas Company’s obligations under an ISDA Master Agreement dated November 29, 1999, were assumed by PSEG Energy Resources &amp; Trade LLC)</w:t>
      </w:r>
      <w:r>
        <w:rPr>
          <w:rFonts w:cs="Times New Roman" w:ascii="Times New Roman" w:hAnsi="Times New Roman"/>
          <w:sz w:val="22"/>
        </w:rPr>
        <w:t xml:space="preserve">  </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Puma L.P. – INACTIVE</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Quaker Oats Company (The)</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Qualitech Steel Corporation – INACTIVE</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Queen Sand Resources,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R. Lacy,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RMS Monte Christo LLC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Rainwater, Richard E.  (</w:t>
      </w:r>
      <w:r>
        <w:rPr>
          <w:rFonts w:cs="Times New Roman" w:ascii="Times New Roman" w:hAnsi="Times New Roman"/>
          <w:sz w:val="22"/>
          <w:u w:val="single"/>
        </w:rPr>
        <w:t>Only Richard E. Rainwater, Kenneth A. Hersh (as agent and attorney) or James Randall Chappel (as agent and attorney-in-fact) are authorized to trade on this account.</w:t>
      </w:r>
      <w:r>
        <w:rPr>
          <w:rFonts w:cs="Times New Roman" w:ascii="Times New Roman" w:hAnsi="Times New Roman"/>
          <w:sz w:val="22"/>
        </w:rPr>
        <w:t>)</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Random House,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Range Resources Corporation  (f\k\a Lomak Petroleum,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Reedy Creek Improvement District</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 xml:space="preserve">Reliant Energy Services, Inc. (f\k\a Noram Energy Services, Inc.) </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Resource Strategies L.L.C.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Reynolds Metal Company</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RIM Offshore,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Roach, R. Byron (</w:t>
      </w:r>
      <w:r>
        <w:rPr>
          <w:rFonts w:cs="Times New Roman" w:ascii="Times New Roman" w:hAnsi="Times New Roman"/>
          <w:sz w:val="22"/>
          <w:u w:val="single"/>
        </w:rPr>
        <w:t>Only R. Byron Roach is authorized to transact business on this account.</w:t>
      </w:r>
      <w:r>
        <w:rPr>
          <w:rFonts w:cs="Times New Roman" w:ascii="Times New Roman" w:hAnsi="Times New Roman"/>
          <w:sz w:val="22"/>
        </w:rPr>
        <w:t>)</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Rock-Tenn Company</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Roman Corporation Limited, by and through its division, Strathcona Paper Company  (Enron Canada Corp.)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Royal Bank of Canada</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Royal Bank of Scotland plc (The)</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Rumpke Consolidated Companies,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Sacramento Municipal Utility District</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Samedan Oil Corporation</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Sanchez Oil &amp; Gas Corporation (f\k\a Sanchez-O’Brien Oil &amp; Gas Corporation)</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San Diego Gas &amp; Electric (</w:t>
      </w:r>
      <w:r>
        <w:rPr>
          <w:rFonts w:cs="Times New Roman" w:ascii="Times New Roman" w:hAnsi="Times New Roman"/>
          <w:sz w:val="22"/>
          <w:u w:val="single"/>
        </w:rPr>
        <w:t>Trade limitations in place; call Credit</w:t>
      </w:r>
      <w:r>
        <w:rPr>
          <w:rFonts w:cs="Times New Roman" w:ascii="Times New Roman" w:hAnsi="Times New Roman"/>
          <w:sz w:val="22"/>
        </w:rPr>
        <w:t>)</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Santa Fe Snyder Corporation  (f\k\a Santa Fe Energy Resources,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Santa Fe Snyder Corporation  (f\k\a Snyder Oil Corporation)</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Sapient Energy Corp.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Sasferko Products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SaskEnergy Incorporated   (Enron Canada Corp.)</w:t>
      </w:r>
    </w:p>
    <w:p>
      <w:pPr>
        <w:pStyle w:val="Normal"/>
        <w:widowControl/>
        <w:numPr>
          <w:ilvl w:val="0"/>
          <w:numId w:val="2"/>
        </w:numPr>
        <w:tabs>
          <w:tab w:val="left" w:pos="720" w:leader="none"/>
          <w:tab w:val="left" w:pos="1476" w:leader="none"/>
          <w:tab w:val="left" w:pos="2148" w:leader="none"/>
          <w:tab w:val="left" w:pos="2952" w:leader="none"/>
          <w:tab w:val="left" w:pos="3624" w:leader="none"/>
          <w:tab w:val="left" w:pos="4296" w:leader="none"/>
          <w:tab w:val="left" w:pos="5106" w:leader="none"/>
          <w:tab w:val="left" w:pos="5778" w:leader="none"/>
          <w:tab w:val="left" w:pos="6450" w:leader="none"/>
          <w:tab w:val="left" w:pos="7254" w:leader="none"/>
          <w:tab w:val="left" w:pos="7926" w:leader="none"/>
          <w:tab w:val="left" w:pos="8736" w:leader="none"/>
          <w:tab w:val="left" w:pos="9408" w:leader="none"/>
          <w:tab w:val="left" w:pos="10080" w:leader="none"/>
          <w:tab w:val="left" w:pos="10884" w:leader="none"/>
          <w:tab w:val="left" w:pos="11556" w:leader="none"/>
          <w:tab w:val="left" w:pos="12228" w:leader="none"/>
          <w:tab w:val="left" w:pos="13032" w:leader="none"/>
        </w:tabs>
        <w:jc w:val="both"/>
        <w:rPr>
          <w:rFonts w:ascii="Times New Roman" w:hAnsi="Times New Roman" w:cs="Times New Roman"/>
          <w:sz w:val="22"/>
        </w:rPr>
      </w:pPr>
      <w:r>
        <w:rPr>
          <w:rFonts w:cs="Times New Roman" w:ascii="Times New Roman" w:hAnsi="Times New Roman"/>
          <w:sz w:val="22"/>
        </w:rPr>
        <w:t>Seagull Marketing Services, Inc.</w:t>
      </w:r>
    </w:p>
    <w:p>
      <w:pPr>
        <w:pStyle w:val="Normal"/>
        <w:widowControl/>
        <w:numPr>
          <w:ilvl w:val="0"/>
          <w:numId w:val="2"/>
        </w:numPr>
        <w:tabs>
          <w:tab w:val="left" w:pos="720" w:leader="none"/>
          <w:tab w:val="left" w:pos="1476" w:leader="none"/>
          <w:tab w:val="left" w:pos="2148" w:leader="none"/>
          <w:tab w:val="left" w:pos="2952" w:leader="none"/>
          <w:tab w:val="left" w:pos="3624" w:leader="none"/>
          <w:tab w:val="left" w:pos="4296" w:leader="none"/>
          <w:tab w:val="left" w:pos="5106" w:leader="none"/>
          <w:tab w:val="left" w:pos="5778" w:leader="none"/>
          <w:tab w:val="left" w:pos="6450" w:leader="none"/>
          <w:tab w:val="left" w:pos="7254" w:leader="none"/>
          <w:tab w:val="left" w:pos="7926" w:leader="none"/>
          <w:tab w:val="left" w:pos="8736" w:leader="none"/>
          <w:tab w:val="left" w:pos="9408" w:leader="none"/>
          <w:tab w:val="left" w:pos="10080" w:leader="none"/>
          <w:tab w:val="left" w:pos="10884" w:leader="none"/>
          <w:tab w:val="left" w:pos="11556" w:leader="none"/>
          <w:tab w:val="left" w:pos="12228" w:leader="none"/>
          <w:tab w:val="left" w:pos="13032" w:leader="none"/>
        </w:tabs>
        <w:jc w:val="both"/>
        <w:rPr>
          <w:rFonts w:ascii="Times New Roman" w:hAnsi="Times New Roman" w:cs="Times New Roman"/>
          <w:sz w:val="22"/>
        </w:rPr>
      </w:pPr>
      <w:r>
        <w:rPr>
          <w:rFonts w:cs="Times New Roman" w:ascii="Times New Roman" w:hAnsi="Times New Roman"/>
          <w:sz w:val="22"/>
        </w:rPr>
        <w:t>Segundo Navarro Drilling, Ltd.</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Sempra Energy Trading Corp. (</w:t>
      </w:r>
      <w:r>
        <w:rPr>
          <w:rFonts w:cs="Times New Roman" w:ascii="Times New Roman" w:hAnsi="Times New Roman"/>
          <w:sz w:val="22"/>
          <w:u w:val="single"/>
        </w:rPr>
        <w:t>Covers both financial and physical transactions</w:t>
      </w:r>
      <w:r>
        <w:rPr>
          <w:rFonts w:cs="Times New Roman" w:ascii="Times New Roman" w:hAnsi="Times New Roman"/>
          <w:sz w:val="22"/>
        </w:rPr>
        <w:t>)</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Sempra Energy Trading Services Corp. (f\k\a CNG Energy Services Corporation) -- INACTIVE</w:t>
      </w:r>
    </w:p>
    <w:p>
      <w:pPr>
        <w:pStyle w:val="Normal"/>
        <w:widowControl/>
        <w:numPr>
          <w:ilvl w:val="0"/>
          <w:numId w:val="2"/>
        </w:numPr>
        <w:tabs>
          <w:tab w:val="left" w:pos="720" w:leader="none"/>
          <w:tab w:val="left" w:pos="1476" w:leader="none"/>
          <w:tab w:val="left" w:pos="2148" w:leader="none"/>
          <w:tab w:val="left" w:pos="2952" w:leader="none"/>
          <w:tab w:val="left" w:pos="3624" w:leader="none"/>
          <w:tab w:val="left" w:pos="4296" w:leader="none"/>
          <w:tab w:val="left" w:pos="5106" w:leader="none"/>
          <w:tab w:val="left" w:pos="5778" w:leader="none"/>
          <w:tab w:val="left" w:pos="6450" w:leader="none"/>
          <w:tab w:val="left" w:pos="7254" w:leader="none"/>
          <w:tab w:val="left" w:pos="7926" w:leader="none"/>
          <w:tab w:val="left" w:pos="8736" w:leader="none"/>
          <w:tab w:val="left" w:pos="9408" w:leader="none"/>
          <w:tab w:val="left" w:pos="10080" w:leader="none"/>
          <w:tab w:val="left" w:pos="10884" w:leader="none"/>
          <w:tab w:val="left" w:pos="11556" w:leader="none"/>
          <w:tab w:val="left" w:pos="12228" w:leader="none"/>
          <w:tab w:val="left" w:pos="13032" w:leader="none"/>
        </w:tabs>
        <w:jc w:val="both"/>
        <w:rPr>
          <w:rFonts w:ascii="Times New Roman" w:hAnsi="Times New Roman" w:cs="Times New Roman"/>
          <w:sz w:val="22"/>
        </w:rPr>
      </w:pPr>
      <w:r>
        <w:rPr>
          <w:rFonts w:cs="Times New Roman" w:ascii="Times New Roman" w:hAnsi="Times New Roman"/>
          <w:sz w:val="22"/>
        </w:rPr>
        <w:t>Seneca Resources Corp.</w:t>
      </w:r>
    </w:p>
    <w:p>
      <w:pPr>
        <w:pStyle w:val="Normal"/>
        <w:widowControl/>
        <w:numPr>
          <w:ilvl w:val="0"/>
          <w:numId w:val="2"/>
        </w:numPr>
        <w:tabs>
          <w:tab w:val="left" w:pos="720" w:leader="none"/>
          <w:tab w:val="left" w:pos="1476" w:leader="none"/>
          <w:tab w:val="left" w:pos="2148" w:leader="none"/>
          <w:tab w:val="left" w:pos="2952" w:leader="none"/>
          <w:tab w:val="left" w:pos="3624" w:leader="none"/>
          <w:tab w:val="left" w:pos="4296" w:leader="none"/>
          <w:tab w:val="left" w:pos="5106" w:leader="none"/>
          <w:tab w:val="left" w:pos="5778" w:leader="none"/>
          <w:tab w:val="left" w:pos="6450" w:leader="none"/>
          <w:tab w:val="left" w:pos="7254" w:leader="none"/>
          <w:tab w:val="left" w:pos="7926" w:leader="none"/>
          <w:tab w:val="left" w:pos="8736" w:leader="none"/>
          <w:tab w:val="left" w:pos="9408" w:leader="none"/>
          <w:tab w:val="left" w:pos="10080" w:leader="none"/>
          <w:tab w:val="left" w:pos="10884" w:leader="none"/>
          <w:tab w:val="left" w:pos="11556" w:leader="none"/>
          <w:tab w:val="left" w:pos="12228" w:leader="none"/>
          <w:tab w:val="left" w:pos="13032" w:leader="none"/>
        </w:tabs>
        <w:jc w:val="both"/>
        <w:rPr>
          <w:rFonts w:ascii="Times New Roman" w:hAnsi="Times New Roman" w:cs="Times New Roman"/>
          <w:sz w:val="22"/>
        </w:rPr>
      </w:pPr>
      <w:r>
        <w:rPr>
          <w:rFonts w:cs="Times New Roman" w:ascii="Times New Roman" w:hAnsi="Times New Roman"/>
          <w:b/>
          <w:bCs/>
          <w:sz w:val="22"/>
        </w:rPr>
        <w:t>Sequa Corporation</w:t>
      </w:r>
    </w:p>
    <w:p>
      <w:pPr>
        <w:pStyle w:val="Normal"/>
        <w:widowControl/>
        <w:numPr>
          <w:ilvl w:val="0"/>
          <w:numId w:val="2"/>
        </w:numPr>
        <w:tabs>
          <w:tab w:val="left" w:pos="720" w:leader="none"/>
          <w:tab w:val="left" w:pos="1476" w:leader="none"/>
          <w:tab w:val="left" w:pos="2148" w:leader="none"/>
          <w:tab w:val="left" w:pos="2952" w:leader="none"/>
          <w:tab w:val="left" w:pos="3624" w:leader="none"/>
          <w:tab w:val="left" w:pos="4296" w:leader="none"/>
          <w:tab w:val="left" w:pos="5106" w:leader="none"/>
          <w:tab w:val="left" w:pos="5778" w:leader="none"/>
          <w:tab w:val="left" w:pos="6450" w:leader="none"/>
          <w:tab w:val="left" w:pos="7254" w:leader="none"/>
          <w:tab w:val="left" w:pos="7926" w:leader="none"/>
          <w:tab w:val="left" w:pos="8736" w:leader="none"/>
          <w:tab w:val="left" w:pos="9408" w:leader="none"/>
          <w:tab w:val="left" w:pos="10080" w:leader="none"/>
          <w:tab w:val="left" w:pos="10884" w:leader="none"/>
          <w:tab w:val="left" w:pos="11556" w:leader="none"/>
          <w:tab w:val="left" w:pos="12228" w:leader="none"/>
          <w:tab w:val="left" w:pos="13032" w:leader="none"/>
        </w:tabs>
        <w:jc w:val="both"/>
        <w:rPr>
          <w:rFonts w:ascii="Times New Roman" w:hAnsi="Times New Roman" w:cs="Times New Roman"/>
          <w:sz w:val="22"/>
        </w:rPr>
      </w:pPr>
      <w:r>
        <w:rPr>
          <w:rFonts w:cs="Times New Roman" w:ascii="Times New Roman" w:hAnsi="Times New Roman"/>
          <w:sz w:val="22"/>
        </w:rPr>
        <w:t>Shell Chemical Risk Management Company</w:t>
      </w:r>
    </w:p>
    <w:p>
      <w:pPr>
        <w:pStyle w:val="Normal"/>
        <w:widowControl/>
        <w:numPr>
          <w:ilvl w:val="0"/>
          <w:numId w:val="2"/>
        </w:numPr>
        <w:tabs>
          <w:tab w:val="left" w:pos="720" w:leader="none"/>
          <w:tab w:val="left" w:pos="1476" w:leader="none"/>
          <w:tab w:val="left" w:pos="2148" w:leader="none"/>
          <w:tab w:val="left" w:pos="2952" w:leader="none"/>
          <w:tab w:val="left" w:pos="3624" w:leader="none"/>
          <w:tab w:val="left" w:pos="4296" w:leader="none"/>
          <w:tab w:val="left" w:pos="5106" w:leader="none"/>
          <w:tab w:val="left" w:pos="5778" w:leader="none"/>
          <w:tab w:val="left" w:pos="6450" w:leader="none"/>
          <w:tab w:val="left" w:pos="7254" w:leader="none"/>
          <w:tab w:val="left" w:pos="7926" w:leader="none"/>
          <w:tab w:val="left" w:pos="8736" w:leader="none"/>
          <w:tab w:val="left" w:pos="9408" w:leader="none"/>
          <w:tab w:val="left" w:pos="10080" w:leader="none"/>
          <w:tab w:val="left" w:pos="10884" w:leader="none"/>
          <w:tab w:val="left" w:pos="11556" w:leader="none"/>
          <w:tab w:val="left" w:pos="12228" w:leader="none"/>
          <w:tab w:val="left" w:pos="13032" w:leader="none"/>
        </w:tabs>
        <w:jc w:val="both"/>
        <w:rPr>
          <w:rFonts w:ascii="Times New Roman" w:hAnsi="Times New Roman" w:cs="Times New Roman"/>
          <w:sz w:val="22"/>
        </w:rPr>
      </w:pPr>
      <w:r>
        <w:rPr>
          <w:rFonts w:cs="Times New Roman" w:ascii="Times New Roman" w:hAnsi="Times New Roman"/>
          <w:sz w:val="22"/>
        </w:rPr>
        <w:t>Shenandoah Energy, Inc.</w:t>
      </w:r>
    </w:p>
    <w:p>
      <w:pPr>
        <w:pStyle w:val="Normal"/>
        <w:widowControl/>
        <w:numPr>
          <w:ilvl w:val="0"/>
          <w:numId w:val="2"/>
        </w:numPr>
        <w:tabs>
          <w:tab w:val="left" w:pos="720" w:leader="none"/>
          <w:tab w:val="left" w:pos="1476" w:leader="none"/>
          <w:tab w:val="left" w:pos="2148" w:leader="none"/>
          <w:tab w:val="left" w:pos="2952" w:leader="none"/>
          <w:tab w:val="left" w:pos="3624" w:leader="none"/>
          <w:tab w:val="left" w:pos="4296" w:leader="none"/>
          <w:tab w:val="left" w:pos="5106" w:leader="none"/>
          <w:tab w:val="left" w:pos="5778" w:leader="none"/>
          <w:tab w:val="left" w:pos="6450" w:leader="none"/>
          <w:tab w:val="left" w:pos="7254" w:leader="none"/>
          <w:tab w:val="left" w:pos="7926" w:leader="none"/>
          <w:tab w:val="left" w:pos="8736" w:leader="none"/>
          <w:tab w:val="left" w:pos="9408" w:leader="none"/>
          <w:tab w:val="left" w:pos="10080" w:leader="none"/>
          <w:tab w:val="left" w:pos="10884" w:leader="none"/>
          <w:tab w:val="left" w:pos="11556" w:leader="none"/>
          <w:tab w:val="left" w:pos="12228" w:leader="none"/>
          <w:tab w:val="left" w:pos="13032" w:leader="none"/>
        </w:tabs>
        <w:jc w:val="both"/>
        <w:rPr>
          <w:rFonts w:ascii="Times New Roman" w:hAnsi="Times New Roman" w:cs="Times New Roman"/>
          <w:sz w:val="22"/>
        </w:rPr>
      </w:pPr>
      <w:r>
        <w:rPr>
          <w:rFonts w:cs="Times New Roman" w:ascii="Times New Roman" w:hAnsi="Times New Roman"/>
          <w:sz w:val="22"/>
        </w:rPr>
        <w:t>Skandinaviska Enskilda Banken AB (Publ)</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Small Ventures USA, LLC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Societe Generale (ENA)</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Societe Generale (ECT International)</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Sogemin Metals Ltd.</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Sonoco Products Company</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South Dauphin Partners Ltd.</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Southern Company Energy Marketing, L.P.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Southern Mineral Corporation</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Southern Pacific Transportation Company</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Southern Union Company</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Southwest Royalties,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Southwestern Energy Company</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Spinnaker Exploration Company, LLC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Star-Kist Foods,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Startech Energy Inc. (Enron Canada Corp.)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State Street Bank and Trust Company of Connecticut, National Association, not in its individual capacity, but solely as Trustee of the Contractual Asset Securitization Holding Trust VI (ECT International)</w:t>
      </w:r>
    </w:p>
    <w:p>
      <w:pPr>
        <w:pStyle w:val="Normal"/>
        <w:widowControl/>
        <w:numPr>
          <w:ilvl w:val="0"/>
          <w:numId w:val="2"/>
        </w:numPr>
        <w:jc w:val="both"/>
        <w:rPr>
          <w:rFonts w:ascii="Times New Roman" w:hAnsi="Times New Roman" w:cs="Times New Roman"/>
          <w:bCs/>
          <w:sz w:val="22"/>
        </w:rPr>
      </w:pPr>
      <w:r>
        <w:rPr>
          <w:rFonts w:cs="Times New Roman" w:ascii="Times New Roman" w:hAnsi="Times New Roman"/>
          <w:bCs/>
          <w:sz w:val="22"/>
        </w:rPr>
        <w:t>Statex Petroleum I, L.P.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Statoil Energy Trading, Inc. (f/k/a Statoil Energy Services, Inc.) -- INACTIVE</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Statoil Marketing &amp; Trading (US),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St. Mary Land &amp; Exploration Company</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St. Paul Re (Bermuda) Ltd.    (</w:t>
      </w:r>
      <w:r>
        <w:rPr>
          <w:rFonts w:cs="Times New Roman" w:ascii="Times New Roman" w:hAnsi="Times New Roman"/>
          <w:sz w:val="22"/>
          <w:u w:val="single"/>
        </w:rPr>
        <w:t>Weather deals only</w:t>
      </w:r>
      <w:r>
        <w:rPr>
          <w:rFonts w:cs="Times New Roman" w:ascii="Times New Roman" w:hAnsi="Times New Roman"/>
          <w:sz w:val="22"/>
        </w:rPr>
        <w:t>)</w:t>
      </w:r>
    </w:p>
    <w:p>
      <w:pPr>
        <w:pStyle w:val="Normal"/>
        <w:widowControl/>
        <w:numPr>
          <w:ilvl w:val="0"/>
          <w:numId w:val="3"/>
        </w:numPr>
        <w:jc w:val="both"/>
        <w:rPr>
          <w:rFonts w:ascii="Times New Roman" w:hAnsi="Times New Roman" w:cs="Times New Roman"/>
          <w:i/>
          <w:i/>
          <w:iCs/>
          <w:sz w:val="22"/>
        </w:rPr>
      </w:pPr>
      <w:r>
        <w:rPr>
          <w:rFonts w:cs="Times New Roman" w:ascii="Times New Roman" w:hAnsi="Times New Roman"/>
          <w:sz w:val="22"/>
        </w:rPr>
        <w:t xml:space="preserve">Stone Container Corporation </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Stonetex Oil Corp.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Stratum Group Energy Capital, L.P.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Stratum Group Energy Partners, L.P.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Stratum Group, L.P.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Sutton Bridge Financing Limited</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Sutton Bridge Power</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Sweetwater Gas Partners, L.P.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Swiss Re Financial Products Corporation</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Talisman Energy, Inc. (Enron Canada Corp.) (</w:t>
      </w:r>
      <w:r>
        <w:rPr>
          <w:rFonts w:cs="Times New Roman" w:ascii="Times New Roman" w:hAnsi="Times New Roman"/>
          <w:sz w:val="22"/>
          <w:u w:val="single"/>
        </w:rPr>
        <w:t>Effective October 15, 1999, Highridge Exploration Ltd. was amalgamated with and into Talisman Energy, Inc., the surviving entity</w:t>
      </w:r>
      <w:r>
        <w:rPr>
          <w:rFonts w:cs="Times New Roman" w:ascii="Times New Roman" w:hAnsi="Times New Roman"/>
          <w:sz w:val="22"/>
        </w:rPr>
        <w:t>)</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Tauber Oil Company</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Tauber Petrochemical Co.</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Taylor Energy Company</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Tejas Gas Marketing, LLC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Tembec Industries Inc. (</w:t>
      </w:r>
      <w:r>
        <w:rPr>
          <w:rFonts w:cs="Times New Roman" w:ascii="Times New Roman" w:hAnsi="Times New Roman"/>
          <w:sz w:val="22"/>
          <w:u w:val="single"/>
        </w:rPr>
        <w:t>f/k/a Tembec Inc. – as a result of an Assignment Agreement all transactions and the Master Agreement between ENA and Tembec Inc. were assigned to Tembec Industries Inc.</w:t>
      </w:r>
      <w:r>
        <w:rPr>
          <w:rFonts w:cs="Times New Roman" w:ascii="Times New Roman" w:hAnsi="Times New Roman"/>
          <w:sz w:val="22"/>
        </w:rPr>
        <w:t>)</w:t>
      </w:r>
      <w:r>
        <w:rPr>
          <w:rFonts w:cs="Times New Roman" w:ascii="Times New Roman" w:hAnsi="Times New Roman"/>
          <w:sz w:val="22"/>
          <w:u w:val="single"/>
        </w:rPr>
        <w:t xml:space="preserve"> </w:t>
      </w:r>
      <w:r>
        <w:rPr>
          <w:rFonts w:cs="Times New Roman" w:ascii="Times New Roman" w:hAnsi="Times New Roman"/>
          <w:sz w:val="22"/>
        </w:rPr>
        <w:t xml:space="preserve">  </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Tempest Reinsurance Company Limited  (</w:t>
      </w:r>
      <w:r>
        <w:rPr>
          <w:rFonts w:cs="Times New Roman" w:ascii="Times New Roman" w:hAnsi="Times New Roman"/>
          <w:sz w:val="22"/>
          <w:u w:val="single"/>
        </w:rPr>
        <w:t>Weather deals only</w:t>
      </w:r>
      <w:r>
        <w:rPr>
          <w:rFonts w:cs="Times New Roman" w:ascii="Times New Roman" w:hAnsi="Times New Roman"/>
          <w:sz w:val="22"/>
        </w:rPr>
        <w:t>)</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Temple-Inland Forest Products Corporation</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Tenaska Marketing Ventures</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Tenaska III Texas Partners</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Texaco Inc.  (</w:t>
      </w:r>
      <w:r>
        <w:rPr>
          <w:rFonts w:cs="Times New Roman" w:ascii="Times New Roman" w:hAnsi="Times New Roman"/>
          <w:sz w:val="22"/>
          <w:u w:val="single"/>
        </w:rPr>
        <w:t>This agreement covers commodity transactions only and specifically excludes FX, currency and cross currency rate swaps and currency agreements</w:t>
      </w:r>
      <w:r>
        <w:rPr>
          <w:rFonts w:cs="Times New Roman" w:ascii="Times New Roman" w:hAnsi="Times New Roman"/>
          <w:sz w:val="22"/>
        </w:rPr>
        <w:t>.)</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Tide West Oil Company</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Tiger -- INACTIVE</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Times Mirror Company (The)</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Titan Resources, L.P.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Tokyo-Mitsubishi International plc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Torch Energy Marketing Incorporated</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Toronto Dominion Bank, acting through its New York Branch (The)</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Total Minatome Corporation</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Total Petroleum,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Tractebel Energy Marketing,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TransAlta Energy Marketing Corp.   (Enron Canada Corp.)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Transammonia Inc., acting through its division (a) Trammochem, (b) Trammo Gas, or (c) Trammo Gas &amp; Petrochemicals</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TransCanada Energy Financial Products Limited    (Enron Canada Corp.)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Transok Gas, LLC   (f\k\a Transok Gas Company)</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Transonic Companies (The)</w:t>
      </w:r>
    </w:p>
    <w:p>
      <w:pPr>
        <w:pStyle w:val="Normal"/>
        <w:widowControl/>
        <w:numPr>
          <w:ilvl w:val="0"/>
          <w:numId w:val="2"/>
        </w:numPr>
        <w:jc w:val="both"/>
        <w:rPr>
          <w:rFonts w:ascii="Times New Roman" w:hAnsi="Times New Roman" w:cs="Times New Roman"/>
          <w:sz w:val="22"/>
        </w:rPr>
      </w:pPr>
      <w:r>
        <w:rPr>
          <w:rFonts w:cs="Times New Roman" w:ascii="Times New Roman" w:hAnsi="Times New Roman"/>
          <w:b/>
          <w:bCs/>
          <w:sz w:val="22"/>
        </w:rPr>
        <w:t>Trans-Tec Services,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Triad Nitrogen,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b/>
          <w:bCs/>
          <w:sz w:val="22"/>
        </w:rPr>
        <w:t>Trioco Resources Inc. (Enron Canada Corp.)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Triton Energy Corporation</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Triton International Finance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Trunkline Gas Company</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Trussway Holdings,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Tudor BVI Global Portfolio Ltd. (The)</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Tudor Proprietary Trading, LLC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Tucson Electric Power Company</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Twister Gas Services L.L.C.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TXU Energy Trading Company  (f\k\a Enserch Energy Services,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UBS AG (f\k\a Swiss Bank Corporation, acting through its Chicago Branch)  (ENA)</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UBS AG  (ECT Investments) (</w:t>
      </w:r>
      <w:r>
        <w:rPr>
          <w:rFonts w:cs="Times New Roman" w:ascii="Times New Roman" w:hAnsi="Times New Roman"/>
          <w:sz w:val="22"/>
          <w:u w:val="single"/>
        </w:rPr>
        <w:t>approved for equity transactions only—NO COMMODITY TRANSACTIONS</w:t>
      </w:r>
      <w:r>
        <w:rPr>
          <w:rFonts w:cs="Times New Roman" w:ascii="Times New Roman" w:hAnsi="Times New Roman"/>
          <w:sz w:val="22"/>
        </w:rPr>
        <w:t>)</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UPM-Kymmene Miramichi Inc. (as a result of a name change f/k/a Repap New Brunswick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UPR Energy Services, Inc.  (f\k\a Union Pacific Fuels,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U.S. Steel Group, a unit of USX Corporation</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Union Oil Company of California</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Union Pacific Railroad Company</w:t>
      </w:r>
    </w:p>
    <w:p>
      <w:pPr>
        <w:pStyle w:val="Normal"/>
        <w:widowControl/>
        <w:numPr>
          <w:ilvl w:val="0"/>
          <w:numId w:val="2"/>
        </w:numPr>
        <w:jc w:val="both"/>
        <w:rPr>
          <w:rFonts w:ascii="Times New Roman" w:hAnsi="Times New Roman" w:cs="Times New Roman"/>
          <w:sz w:val="22"/>
        </w:rPr>
      </w:pPr>
      <w:r>
        <w:rPr>
          <w:rFonts w:cs="Times New Roman" w:ascii="Times New Roman" w:hAnsi="Times New Roman"/>
          <w:b/>
          <w:bCs/>
          <w:sz w:val="22"/>
        </w:rPr>
        <w:t>United Oil &amp; Minerals Limited Partnership (as a result of a name change and entity restructuring f/k/a United Oil &amp; Minerals,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United Salt Corporation</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United States Gypsum Company</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Valero Marketing &amp; Supply Company (f\k\a Valero Gas Marketing, L.P.)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Valmora Partners, L.P.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Vanguard Petroleum Corp.</w:t>
      </w:r>
    </w:p>
    <w:p>
      <w:pPr>
        <w:pStyle w:val="Normal"/>
        <w:widowControl/>
        <w:numPr>
          <w:ilvl w:val="0"/>
          <w:numId w:val="2"/>
        </w:numPr>
        <w:jc w:val="both"/>
        <w:rPr>
          <w:rFonts w:ascii="Times New Roman" w:hAnsi="Times New Roman" w:cs="Times New Roman"/>
          <w:bCs/>
          <w:sz w:val="22"/>
        </w:rPr>
      </w:pPr>
      <w:r>
        <w:rPr>
          <w:rFonts w:cs="Times New Roman" w:ascii="Times New Roman" w:hAnsi="Times New Roman"/>
          <w:bCs/>
          <w:sz w:val="22"/>
        </w:rPr>
        <w:t>Venoco,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Vermont Gas Systems Inc. (Enron Canada Corp.)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Vessels Hydrocarbons,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Virginia Power Energy Marketing,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Vista Energy Resources,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Vitol Gas &amp; Electric LLC – INACTIVE</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Vitol S.A.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b/>
          <w:bCs/>
          <w:sz w:val="22"/>
        </w:rPr>
        <w:t>Vitro Corporativo, S.A. de C.V.</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Voest-Alpine Intertrading U.S.A.,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Vulcan Materials Company, acting through its division Vulcan Chemicals</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WFS Gas Resources Company</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WPS Energy Services,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WTG Gas Marketing,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Walter Oil &amp; Gas Corporation</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 xml:space="preserve">Wasatch Energy LLC </w:t>
      </w:r>
      <w:r>
        <w:rPr>
          <w:rFonts w:cs="Times New Roman" w:ascii="Times New Roman" w:hAnsi="Times New Roman"/>
          <w:sz w:val="22"/>
          <w:u w:val="single"/>
        </w:rPr>
        <w:t xml:space="preserve">(f/k/a Wasatch Energy Corporation – as a result of an Assignment Agreement all transactions and the Master Agreement between ENA and Wasatch Energy Corporation were assigned to Wasatch Energy LLC </w:t>
      </w:r>
      <w:r>
        <w:rPr>
          <w:rFonts w:cs="Times New Roman" w:ascii="Times New Roman" w:hAnsi="Times New Roman"/>
          <w:sz w:val="22"/>
        </w:rPr>
        <w:t xml:space="preserve">  </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Waste Management,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Wausau-Mosinee Paper Corporation</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Westdeutsche Landesbank Gironzentrale</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West Texas Gas,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Western Gas Resources,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Western Publishing Co.</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Western Resources,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Westpac Banking Corporation</w:t>
      </w:r>
    </w:p>
    <w:p>
      <w:pPr>
        <w:pStyle w:val="Normal"/>
        <w:widowControl/>
        <w:numPr>
          <w:ilvl w:val="0"/>
          <w:numId w:val="2"/>
        </w:numPr>
        <w:jc w:val="both"/>
        <w:rPr>
          <w:rFonts w:ascii="Times New Roman" w:hAnsi="Times New Roman" w:cs="Times New Roman"/>
          <w:bCs/>
          <w:sz w:val="22"/>
        </w:rPr>
      </w:pPr>
      <w:r>
        <w:rPr>
          <w:rFonts w:cs="Times New Roman" w:ascii="Times New Roman" w:hAnsi="Times New Roman"/>
          <w:bCs/>
          <w:sz w:val="22"/>
        </w:rPr>
        <w:t>Westpark Resources,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Westport Oil and Gas Company,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Westward Communications, LLC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Weyerhaeuser Company Limited</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William Herbert Hunt Trust Estate</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 xml:space="preserve">Williams Energy Marketing &amp; Trading Company (f\k\a Williams Energy Services Company) </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Wisconsin Gas Company</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Wisconsin Power &amp; Light Company</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Wiser Oil Company (The)</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Worthington Steel Company (The)</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WTG Gas Processing L.P.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Wyman–Gordon Company</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Wynn-Crosby 1994, Ltd.</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Wynn-Crosby 1995, Ltd.</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Wynn-Crosby 1996, Ltd.</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Wynn-Crosby 1997, Ltd.</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Xerox Corporation (</w:t>
      </w:r>
      <w:r>
        <w:rPr>
          <w:rFonts w:cs="Times New Roman" w:ascii="Times New Roman" w:hAnsi="Times New Roman"/>
          <w:sz w:val="22"/>
          <w:u w:val="single"/>
        </w:rPr>
        <w:t>Netting of payments is only permitted for commodity transactions in which paper or pulp is the relevant commodity, unless otherwise agreed by the parties</w:t>
      </w:r>
      <w:r>
        <w:rPr>
          <w:rFonts w:cs="Times New Roman" w:ascii="Times New Roman" w:hAnsi="Times New Roman"/>
          <w:sz w:val="22"/>
        </w:rPr>
        <w:t>)</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XPLOR Energy Holding Company</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Yuma Companies, Inc. (The)</w:t>
      </w:r>
    </w:p>
    <w:sectPr>
      <w:headerReference w:type="default" r:id="rId3"/>
      <w:headerReference w:type="first" r:id="rId4"/>
      <w:footerReference w:type="default" r:id="rId5"/>
      <w:footerReference w:type="first" r:id="rId6"/>
      <w:type w:val="nextPage"/>
      <w:pgSz w:w="12240" w:h="15840"/>
      <w:pgMar w:left="1440" w:right="1440" w:gutter="0" w:header="720" w:top="1440" w:footer="720" w:bottom="1152"/>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 w:name="Dutch Roman   Roman 8) (FW">
    <w:altName w:val=" Por"/>
    <w:charset w:val="00" w:characterSet="windows-1252"/>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tabs>
        <w:tab w:val="clear" w:pos="4320"/>
        <w:tab w:val="left" w:pos="3780" w:leader="none"/>
        <w:tab w:val="center" w:pos="7560" w:leader="none"/>
        <w:tab w:val="right" w:pos="8640" w:leader="none"/>
      </w:tabs>
      <w:rPr>
        <w:b/>
        <w:sz w:val="16"/>
      </w:rPr>
    </w:pPr>
    <w:r>
      <w:rPr>
        <w:b/>
        <w:sz w:val="16"/>
      </w:rPr>
    </w:r>
  </w:p>
  <w:p>
    <w:pPr>
      <w:pStyle w:val="Footer"/>
      <w:widowControl/>
      <w:tabs>
        <w:tab w:val="clear" w:pos="4320"/>
        <w:tab w:val="left" w:pos="2430" w:leader="none"/>
        <w:tab w:val="left" w:pos="5310" w:leader="none"/>
        <w:tab w:val="right" w:pos="8640" w:leader="none"/>
        <w:tab w:val="right" w:pos="10800" w:leader="none"/>
      </w:tabs>
      <w:rPr>
        <w:b/>
        <w:sz w:val="16"/>
      </w:rPr>
    </w:pPr>
    <w:r>
      <w:rPr>
        <w:b/>
        <w:sz w:val="16"/>
      </w:rPr>
      <w:t>Respect</w:t>
      <w:tab/>
      <w:t>Integrity</w:t>
      <w:tab/>
      <w:t>Communication</w:t>
      <w:tab/>
      <w:t>Excellence</w:t>
    </w:r>
  </w:p>
  <w:p>
    <w:pPr>
      <w:pStyle w:val="Footer"/>
      <w:widowControl/>
      <w:tabs>
        <w:tab w:val="clear" w:pos="4320"/>
        <w:tab w:val="left" w:pos="2430" w:leader="none"/>
        <w:tab w:val="left" w:pos="5310" w:leader="none"/>
        <w:tab w:val="right" w:pos="8640" w:leader="none"/>
        <w:tab w:val="right" w:pos="10800" w:leader="none"/>
      </w:tabs>
      <w:rPr>
        <w:b/>
        <w:sz w:val="16"/>
      </w:rPr>
    </w:pPr>
    <w:r>
      <w:rPr>
        <w:b/>
        <w:sz w:val="16"/>
      </w:rPr>
    </w:r>
  </w:p>
  <w:p>
    <w:pPr>
      <w:pStyle w:val="Footer"/>
      <w:widowControl/>
      <w:tabs>
        <w:tab w:val="clear" w:pos="4320"/>
        <w:tab w:val="left" w:pos="3780" w:leader="none"/>
        <w:tab w:val="center" w:pos="7560" w:leader="none"/>
        <w:tab w:val="right" w:pos="8640" w:leader="none"/>
      </w:tabs>
      <w:rPr>
        <w:rFonts w:ascii="Times New Roman" w:hAnsi="Times New Roman" w:cs="Times New Roman"/>
        <w:sz w:val="16"/>
      </w:rPr>
    </w:pPr>
    <w:r>
      <w:rPr>
        <w:rFonts w:cs="Times New Roman" w:ascii="Times New Roman" w:hAnsi="Times New Roman"/>
        <w:sz w:val="16"/>
      </w:rPr>
      <w:t>O:\Legal\Sbailey\Misc\executedmasters.doc</w:t>
    </w:r>
  </w:p>
  <w:p>
    <w:pPr>
      <w:pStyle w:val="Footer"/>
      <w:widowControl/>
      <w:tabs>
        <w:tab w:val="clear" w:pos="4320"/>
        <w:tab w:val="left" w:pos="2430" w:leader="none"/>
        <w:tab w:val="left" w:pos="5310" w:leader="none"/>
        <w:tab w:val="right" w:pos="8640" w:leader="none"/>
        <w:tab w:val="right" w:pos="10800" w:leader="none"/>
      </w:tabs>
      <w:rPr>
        <w:rFonts w:ascii="Times New Roman" w:hAnsi="Times New Roman" w:cs="Times New Roman"/>
        <w:sz w:val="16"/>
      </w:rPr>
    </w:pPr>
    <w:r>
      <w:rPr>
        <w:rFonts w:cs="Times New Roman" w:ascii="Times New Roman" w:hAnsi="Times New Roman"/>
        <w:sz w:val="16"/>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tabs>
        <w:tab w:val="clear" w:pos="4320"/>
        <w:tab w:val="left" w:pos="3780" w:leader="none"/>
        <w:tab w:val="center" w:pos="7560" w:leader="none"/>
        <w:tab w:val="right" w:pos="8640" w:leader="none"/>
      </w:tabs>
      <w:rPr>
        <w:b/>
        <w:sz w:val="16"/>
      </w:rPr>
    </w:pPr>
    <w:r>
      <w:rPr>
        <w:b/>
        <w:sz w:val="16"/>
      </w:rPr>
    </w:r>
  </w:p>
  <w:p>
    <w:pPr>
      <w:pStyle w:val="Footer"/>
      <w:widowControl/>
      <w:tabs>
        <w:tab w:val="clear" w:pos="4320"/>
        <w:tab w:val="left" w:pos="2430" w:leader="none"/>
        <w:tab w:val="left" w:pos="5310" w:leader="none"/>
        <w:tab w:val="right" w:pos="8640" w:leader="none"/>
        <w:tab w:val="right" w:pos="10800" w:leader="none"/>
      </w:tabs>
      <w:rPr>
        <w:b/>
        <w:sz w:val="16"/>
      </w:rPr>
    </w:pPr>
    <w:r>
      <w:rPr>
        <w:b/>
        <w:sz w:val="16"/>
      </w:rPr>
      <w:t>Respect</w:t>
      <w:tab/>
      <w:t>Integrity</w:t>
      <w:tab/>
      <w:t>Communication</w:t>
      <w:tab/>
      <w:t>Excellence</w:t>
    </w:r>
  </w:p>
  <w:p>
    <w:pPr>
      <w:pStyle w:val="Footer"/>
      <w:widowControl/>
      <w:tabs>
        <w:tab w:val="clear" w:pos="4320"/>
        <w:tab w:val="left" w:pos="2430" w:leader="none"/>
        <w:tab w:val="left" w:pos="5310" w:leader="none"/>
        <w:tab w:val="right" w:pos="8640" w:leader="none"/>
        <w:tab w:val="right" w:pos="10800" w:leader="none"/>
      </w:tabs>
      <w:rPr>
        <w:b/>
        <w:sz w:val="16"/>
      </w:rPr>
    </w:pPr>
    <w:r>
      <w:rPr>
        <w:b/>
        <w:sz w:val="16"/>
      </w:rPr>
    </w:r>
  </w:p>
  <w:p>
    <w:pPr>
      <w:pStyle w:val="Footer"/>
      <w:widowControl/>
      <w:tabs>
        <w:tab w:val="clear" w:pos="4320"/>
        <w:tab w:val="left" w:pos="3780" w:leader="none"/>
        <w:tab w:val="center" w:pos="7560" w:leader="none"/>
        <w:tab w:val="right" w:pos="8640" w:leader="none"/>
      </w:tabs>
      <w:rPr>
        <w:rFonts w:ascii="Times New Roman" w:hAnsi="Times New Roman" w:cs="Times New Roman"/>
        <w:sz w:val="16"/>
      </w:rPr>
    </w:pPr>
    <w:r>
      <w:rPr>
        <w:rFonts w:cs="Times New Roman" w:ascii="Times New Roman" w:hAnsi="Times New Roman"/>
        <w:sz w:val="16"/>
      </w:rPr>
      <w:t>O:\Legal\Sbailey\Misc\executedmasters.doc</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jc w:val="center"/>
      <w:rPr>
        <w:b/>
      </w:rPr>
    </w:pPr>
    <w:r>
      <w:rPr>
        <w:b/>
      </w:rPr>
      <w:t>CONFIDENTIAL</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720"/>
      </w:pPr>
    </w:lvl>
  </w:abstractNum>
  <w:abstractNum w:abstractNumId="3">
    <w:lvl w:ilvl="0">
      <w:start w:val="1"/>
      <w:numFmt w:val="decimal"/>
      <w:lvlText w:val="%1."/>
      <w:lvlJc w:val="start"/>
      <w:pPr>
        <w:tabs>
          <w:tab w:val="num" w:pos="720"/>
        </w:tabs>
        <w:ind w:start="720" w:hanging="72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ms Rmn;Times New Roman" w:hAnsi="Tms Rmn;Times New Roman" w:eastAsia="Times New Roman" w:cs="Tms Rmn;Times New Roman"/>
      <w:color w:val="auto"/>
      <w:sz w:val="26"/>
      <w:szCs w:val="20"/>
      <w:lang w:val="en-US" w:bidi="ar-SA" w:eastAsia="zh-CN"/>
    </w:rPr>
  </w:style>
  <w:style w:type="paragraph" w:styleId="Heading1">
    <w:name w:val="heading 1"/>
    <w:basedOn w:val="Normal"/>
    <w:next w:val="Heading2"/>
    <w:qFormat/>
    <w:pPr>
      <w:keepNext w:val="true"/>
      <w:numPr>
        <w:ilvl w:val="0"/>
        <w:numId w:val="1"/>
      </w:numPr>
      <w:spacing w:before="240" w:after="240"/>
      <w:jc w:val="center"/>
      <w:outlineLvl w:val="0"/>
    </w:pPr>
    <w:rPr>
      <w:b/>
      <w:caps/>
    </w:rPr>
  </w:style>
  <w:style w:type="paragraph" w:styleId="Heading2">
    <w:name w:val="heading 2"/>
    <w:basedOn w:val="Normal"/>
    <w:next w:val="Justified"/>
    <w:qFormat/>
    <w:pPr>
      <w:numPr>
        <w:ilvl w:val="1"/>
        <w:numId w:val="1"/>
      </w:numPr>
      <w:spacing w:before="0" w:after="120"/>
      <w:ind w:firstLine="720" w:start="0" w:end="0"/>
      <w:jc w:val="both"/>
      <w:outlineLvl w:val="1"/>
    </w:pPr>
    <w:rPr/>
  </w:style>
  <w:style w:type="paragraph" w:styleId="Heading3">
    <w:name w:val="heading 3"/>
    <w:basedOn w:val="Normal"/>
    <w:next w:val="BodyText"/>
    <w:qFormat/>
    <w:pPr>
      <w:numPr>
        <w:ilvl w:val="2"/>
        <w:numId w:val="1"/>
      </w:numPr>
      <w:spacing w:before="0" w:after="120"/>
      <w:ind w:hanging="0" w:start="1440" w:end="1440"/>
      <w:jc w:val="both"/>
      <w:outlineLvl w:val="2"/>
    </w:pPr>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5">
    <w:name w:val="heading 5"/>
    <w:basedOn w:val="Normal"/>
    <w:next w:val="NormalIndent"/>
    <w:qFormat/>
    <w:pPr>
      <w:numPr>
        <w:ilvl w:val="4"/>
        <w:numId w:val="1"/>
      </w:numPr>
      <w:ind w:hanging="0" w:start="720" w:end="0"/>
      <w:outlineLvl w:val="4"/>
    </w:pPr>
    <w:rPr>
      <w:b/>
      <w:sz w:val="20"/>
    </w:rPr>
  </w:style>
  <w:style w:type="paragraph" w:styleId="Heading6">
    <w:name w:val="heading 6"/>
    <w:basedOn w:val="Normal"/>
    <w:next w:val="BodyText"/>
    <w:qFormat/>
    <w:pPr>
      <w:numPr>
        <w:ilvl w:val="5"/>
        <w:numId w:val="1"/>
      </w:numPr>
      <w:spacing w:before="0" w:after="120"/>
      <w:ind w:hanging="0" w:start="1440" w:end="1440"/>
      <w:jc w:val="both"/>
      <w:outlineLvl w:val="5"/>
    </w:pPr>
    <w:rPr/>
  </w:style>
  <w:style w:type="paragraph" w:styleId="Heading7">
    <w:name w:val="heading 7"/>
    <w:basedOn w:val="Normal"/>
    <w:next w:val="BodyText"/>
    <w:qFormat/>
    <w:pPr>
      <w:numPr>
        <w:ilvl w:val="6"/>
        <w:numId w:val="1"/>
      </w:numPr>
      <w:spacing w:before="0" w:after="120"/>
      <w:ind w:hanging="720" w:start="2880" w:end="2160"/>
      <w:jc w:val="both"/>
      <w:outlineLvl w:val="6"/>
    </w:pPr>
    <w:rPr/>
  </w:style>
  <w:style w:type="paragraph" w:styleId="Heading8">
    <w:name w:val="heading 8"/>
    <w:basedOn w:val="Normal"/>
    <w:next w:val="NormalIndent"/>
    <w:qFormat/>
    <w:pPr>
      <w:numPr>
        <w:ilvl w:val="7"/>
        <w:numId w:val="1"/>
      </w:numPr>
      <w:ind w:hanging="0" w:start="720" w:end="0"/>
      <w:outlineLvl w:val="7"/>
    </w:pPr>
    <w:rPr>
      <w:i/>
      <w:sz w:val="20"/>
    </w:rPr>
  </w:style>
  <w:style w:type="paragraph" w:styleId="Heading9">
    <w:name w:val="heading 9"/>
    <w:basedOn w:val="Normal"/>
    <w:next w:val="NormalIndent"/>
    <w:qFormat/>
    <w:pPr>
      <w:numPr>
        <w:ilvl w:val="8"/>
        <w:numId w:val="1"/>
      </w:numPr>
      <w:ind w:hanging="0" w:start="720" w:end="0"/>
      <w:outlineLvl w:val="8"/>
    </w:pPr>
    <w:rPr>
      <w:i/>
      <w:sz w:val="20"/>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character" w:styleId="PageNumber">
    <w:name w:val="page number"/>
    <w:basedOn w:val="DefaultParagraphFont"/>
    <w:rPr>
      <w:sz w:val="20"/>
    </w:rPr>
  </w:style>
  <w:style w:type="paragraph" w:styleId="Heading">
    <w:name w:val="Heading"/>
    <w:basedOn w:val="Normal"/>
    <w:next w:val="BodyText"/>
    <w:qFormat/>
    <w:pPr>
      <w:jc w:val="center"/>
    </w:pPr>
    <w:rPr>
      <w:rFonts w:ascii="Dutch Roman   Roman 8) (FW, Por" w:hAnsi="Dutch Roman   Roman 8) (FW, Por" w:cs="Dutch Roman   Roman 8) (FW, Por"/>
      <w:sz w:val="24"/>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jc w:val="both"/>
    </w:pPr>
    <w:rPr/>
  </w:style>
  <w:style w:type="paragraph" w:styleId="NormalIndent">
    <w:name w:val="Normal Indent"/>
    <w:basedOn w:val="Normal"/>
    <w:qFormat/>
    <w:pPr>
      <w:ind w:hanging="0" w:start="720" w:end="0"/>
    </w:pPr>
    <w:rPr/>
  </w:style>
  <w:style w:type="paragraph" w:styleId="TOC7">
    <w:name w:val="toc 7"/>
    <w:basedOn w:val="Normal"/>
    <w:pPr>
      <w:tabs>
        <w:tab w:val="clear" w:pos="720"/>
        <w:tab w:val="left" w:pos="8280" w:leader="dot"/>
        <w:tab w:val="right" w:pos="8640" w:leader="none"/>
      </w:tabs>
      <w:spacing w:before="0" w:after="240"/>
      <w:ind w:hanging="0" w:start="0" w:end="720"/>
    </w:pPr>
    <w:rPr/>
  </w:style>
  <w:style w:type="paragraph" w:styleId="TOC6">
    <w:name w:val="toc 6"/>
    <w:basedOn w:val="Normal"/>
    <w:pPr>
      <w:tabs>
        <w:tab w:val="clear" w:pos="720"/>
        <w:tab w:val="left" w:pos="8280" w:leader="dot"/>
        <w:tab w:val="right" w:pos="8640" w:leader="none"/>
      </w:tabs>
      <w:spacing w:before="0" w:after="240"/>
      <w:ind w:hanging="0" w:start="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style>
  <w:style w:type="paragraph" w:styleId="TOC2">
    <w:name w:val="toc 2"/>
    <w:basedOn w:val="Normal"/>
    <w:next w:val="Normal"/>
    <w:pPr>
      <w:tabs>
        <w:tab w:val="clear" w:pos="720"/>
        <w:tab w:val="left" w:pos="8280" w:leader="dot"/>
        <w:tab w:val="right" w:pos="8640" w:leader="none"/>
      </w:tabs>
      <w:ind w:hanging="0" w:start="0" w:end="720"/>
    </w:pPr>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Hidden">
    <w:name w:val="Hidden"/>
    <w:basedOn w:val="Normal"/>
    <w:next w:val="Normal"/>
    <w:qFormat/>
    <w:pPr/>
    <w:rPr>
      <w:vanish/>
      <w:color w:val="FF0000"/>
    </w:rPr>
  </w:style>
  <w:style w:type="paragraph" w:styleId="Expanded">
    <w:name w:val="Expanded"/>
    <w:basedOn w:val="Normal"/>
    <w:next w:val="Normal"/>
    <w:qFormat/>
    <w:pPr>
      <w:spacing w:before="0" w:after="240"/>
      <w:jc w:val="center"/>
    </w:pPr>
    <w:rPr>
      <w:b/>
      <w:caps/>
      <w:spacing w:val="60"/>
    </w:rPr>
  </w:style>
  <w:style w:type="paragraph" w:styleId="hang2">
    <w:name w:val="hang2"/>
    <w:basedOn w:val="Normal"/>
    <w:next w:val="Normal"/>
    <w:qFormat/>
    <w:pPr>
      <w:ind w:hanging="2880" w:start="2880" w:end="0"/>
    </w:pPr>
    <w:rPr>
      <w:rFonts w:ascii="Times New Roman" w:hAnsi="Times New Roman" w:cs="Times New Roman"/>
      <w:sz w:val="24"/>
    </w:rPr>
  </w:style>
  <w:style w:type="paragraph" w:styleId="RightPar">
    <w:name w:val="Right Par"/>
    <w:basedOn w:val="Normal"/>
    <w:qFormat/>
    <w:pPr>
      <w:ind w:firstLine="720" w:start="0" w:end="0"/>
    </w:pPr>
    <w:rPr>
      <w:rFonts w:ascii="Dutch Roman   Roman 8) (FW, Por" w:hAnsi="Dutch Roman   Roman 8) (FW, Por" w:cs="Dutch Roman   Roman 8) (FW, Por"/>
      <w:sz w:val="24"/>
    </w:rPr>
  </w:style>
  <w:style w:type="paragraph" w:styleId="Subheading">
    <w:name w:val="Subheading"/>
    <w:basedOn w:val="Normal"/>
    <w:qFormat/>
    <w:pPr/>
    <w:rPr>
      <w:rFonts w:ascii="Dutch Roman   Roman 8) (FW, Por" w:hAnsi="Dutch Roman   Roman 8) (FW, Por" w:cs="Dutch Roman   Roman 8) (FW, Por"/>
      <w:sz w:val="24"/>
    </w:rPr>
  </w:style>
  <w:style w:type="paragraph" w:styleId="Document">
    <w:name w:val="Document"/>
    <w:basedOn w:val="Normal"/>
    <w:qFormat/>
    <w:pPr>
      <w:jc w:val="center"/>
    </w:pPr>
    <w:rPr>
      <w:rFonts w:ascii="Dutch Roman   Roman 8) (FW, Por" w:hAnsi="Dutch Roman   Roman 8) (FW, Por" w:cs="Dutch Roman   Roman 8) (FW, Por"/>
      <w:sz w:val="24"/>
    </w:rPr>
  </w:style>
  <w:style w:type="paragraph" w:styleId="Bibliogrphy">
    <w:name w:val="Bibliogrphy"/>
    <w:basedOn w:val="Normal"/>
    <w:qFormat/>
    <w:pPr>
      <w:ind w:firstLine="720" w:start="720" w:end="0"/>
    </w:pPr>
    <w:rPr>
      <w:rFonts w:ascii="Dutch Roman   Roman 8) (FW, Por" w:hAnsi="Dutch Roman   Roman 8) (FW, Por" w:cs="Dutch Roman   Roman 8) (FW, Por"/>
      <w:sz w:val="24"/>
    </w:rPr>
  </w:style>
  <w:style w:type="paragraph" w:styleId="DocInit">
    <w:name w:val="Doc Init"/>
    <w:basedOn w:val="Normal"/>
    <w:qFormat/>
    <w:pPr/>
    <w:rPr>
      <w:rFonts w:ascii="Dutch Roman   Roman 8) (FW, Por" w:hAnsi="Dutch Roman   Roman 8) (FW, Por" w:cs="Dutch Roman   Roman 8) (FW, Por"/>
      <w:sz w:val="24"/>
    </w:rPr>
  </w:style>
  <w:style w:type="paragraph" w:styleId="TechInit">
    <w:name w:val="Tech Init"/>
    <w:basedOn w:val="Normal"/>
    <w:qFormat/>
    <w:pPr/>
    <w:rPr>
      <w:rFonts w:ascii="Dutch Roman   Roman 8) (FW, Por" w:hAnsi="Dutch Roman   Roman 8) (FW, Por" w:cs="Dutch Roman   Roman 8) (FW, Por"/>
      <w:sz w:val="24"/>
    </w:rPr>
  </w:style>
  <w:style w:type="paragraph" w:styleId="Technical">
    <w:name w:val="Technical"/>
    <w:basedOn w:val="Normal"/>
    <w:qFormat/>
    <w:pPr/>
    <w:rPr>
      <w:rFonts w:ascii="Dutch Roman   Roman 8) (FW, Por" w:hAnsi="Dutch Roman   Roman 8) (FW, Por" w:cs="Dutch Roman   Roman 8) (FW, Por"/>
      <w:sz w:val="24"/>
    </w:rPr>
  </w:style>
  <w:style w:type="paragraph" w:styleId="Pleading">
    <w:name w:val="Pleading"/>
    <w:basedOn w:val="Normal"/>
    <w:qFormat/>
    <w:pPr>
      <w:tabs>
        <w:tab w:val="clear" w:pos="720"/>
        <w:tab w:val="right" w:pos="288" w:leader="none"/>
      </w:tabs>
    </w:pPr>
    <w:rPr>
      <w:rFonts w:ascii="Dutch Roman   Roman 8) (FW, Por" w:hAnsi="Dutch Roman   Roman 8) (FW, Por" w:cs="Dutch Roman   Roman 8) (FW, Por"/>
      <w:sz w:val="24"/>
    </w:rPr>
  </w:style>
  <w:style w:type="paragraph" w:styleId="BodyTextIndent">
    <w:name w:val="Body Text Indent"/>
    <w:basedOn w:val="Normal"/>
    <w:pPr>
      <w:widowControl/>
      <w:ind w:hanging="0" w:start="720" w:end="0"/>
      <w:jc w:val="both"/>
    </w:pPr>
    <w:rPr>
      <w:rFonts w:ascii="Times New Roman" w:hAnsi="Times New Roman" w:cs="Times New Roman"/>
      <w:b/>
      <w:i/>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HeaderLeft">
    <w:name w:val="Header Left"/>
    <w:basedOn w:val="Header"/>
    <w:qFormat/>
    <w:pPr>
      <w:suppressLineNumbers/>
      <w:tabs>
        <w:tab w:val="clear" w:pos="4320"/>
        <w:tab w:val="clear" w:pos="8640"/>
        <w:tab w:val="center" w:pos="4680" w:leader="none"/>
        <w:tab w:val="right" w:pos="9360" w:leader="none"/>
      </w:tabs>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897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2000-07-13T15:57:00Z</dcterms:created>
  <dc:creator>appinst</dc:creator>
  <dc:description>this is the January version that has all of the December changes accepted</dc:description>
  <dc:language>en-CA</dc:language>
  <cp:lastModifiedBy>Esmeralda Gonzalez</cp:lastModifiedBy>
  <cp:lastPrinted>2001-06-14T09:53:00Z</cp:lastPrinted>
  <dcterms:modified xsi:type="dcterms:W3CDTF">2001-06-14T12:23:00Z</dcterms:modified>
  <cp:revision>61</cp:revision>
  <dc:subject/>
  <dc:title>swap update</dc:title>
</cp:coreProperties>
</file>