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COMMENT &amp; ANALYSIS: Retreat that need not be a rout: Despite recent fears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about its decline, the euro's weakness is no obstacle to low inflation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sustained growth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82% match; Financial Times ; 01-Dec-1999 03:13:15 am ; 1096 words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Currency markets are doing what they do best: causing trouble. As the yen moves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upwards towards 100 to the dollar and the euro sinks towards parity, the Japanese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and European authorities would love to change places.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last thing needed by a convalescent Japanese economy is a surging yen. Yet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even though many in the euro-zone fret over its decline, the euro is a less obvious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cause for concern. Wim Duisenberg, the president of the European Central Bank,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has consistently and plausibly argued that a threat to internal price stability is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only valid worry.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That attitude is in full accord with the ECB's mandate. But is it sensible? Two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issues arise: why is the euro so weak? And what, if any, damage might that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weakness cause?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weakness of the euro needs explaining, since the euro-zone seems to be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blooming health. In its recent forecasts, the European Commission argues that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euro-zone economy is set to expand by 2.9 per cent in 2000 and again in 2001,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after a dip this year, in the wake of the emerging market crisis, to growth of 2.1 per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cent.* The euro-zone's unemployment rate is forecast to fall from 11.5 per cent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1997, to 10 per cent this year and on to 8.8 per cent in 2001. The aggregate fiscal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deficit is also down, to 1.6 per cent this year and falling.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Meanwhile, inflation (as measured by the harmonised index of consumer prices)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is set to remain well below the ECB's ceiling of 2 per cent. Bond markets suggest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expectation of low inflation is entrenched. True, rates of interest on benchmark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euro bonds have risen from 3.8 per cent at the beginning of the year to 5.3 per cent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today, but this is still 0.9 percentage points below US levels. That is a bigger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margin in the euro-zone's favour than in mid-October and much the same as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January.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Rising eurobond rates are more likely to reflect expectations of stronger growth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than fears of higher inflation. Certainly, there is no reason to believe that inflation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expectations have risen faster in the euro-zone than in the US - as is needed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explain the euro's weakness against the dollar.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euro-zone also has a strong current account. The US current account deficit 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forecast by the Organisation for Economic Co-operation and Development at 3.7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per cent of GDP this year, rising to 4.2 per cent in 2000 and again in 2001.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euro-zone, by contrast, has a current account surplus of 0.8 per cent of GDP this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year, followed by forecasts of 0.7 per cent and 0.8 per cent for 2000 and 2001.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Why then should the currency of a zone enjoying low inflation, falling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unemployment, sound public finances, increasingly robust growth and a strong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external position be weak? The immediate cause lies in the capital account.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Goldman Sachs notes that the "basic balance" - the current account balance plus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longer-term capital flows - is far from robust. The narrow basic balance (the current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account plus net foreign direct investment) and the broad basic balance (which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includes net portfolio flows as well) have been negative for most of this year (see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chart). There seem to be two principal reasons for this: the unwinding of positions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taken by foreign investors prior to the launch of the euro, and the lack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attractiveness of the euro-zone for large-scale inward foreign direct investment,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particularly acquisitions.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This makes the view apparently expressed by the German finance minister, Hans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Eichel - that confidence in the euro could be weakened by British opposition to an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EU-wide withholding tax on interest income - somewhat peculiar. Such a tax 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interest income would discourage capital inflows and encourage outflows - exactly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opposite of what the euro needs. It is quite easy, in contrast, to see why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German government's opposition to hostile takeovers, expressed in the case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Vodaphone's attempted acquisition of Mannesmann, would discourage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large-scale inward foreign direct investment.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If so, the weakness of the euro could largely reflect investor concerns about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wider attitudes of core euro-zone governments to structural change.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This concern may well prove to be exaggerated. There is certainly more change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under way than the rhetoric of the German government on takeovers suggests.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One indication is that, according to the Commission forecast, real GDP per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economically active person should rise as quickly in the euro-zone as in the UK,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between 1996 and 2001, and almost as quickly in Germany as in the US.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Nevertheless, the concern remains - and needs to be addressed as decisively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quickly as possible.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Turn then to whether there is good reason to worry about the euro's weakness.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answer is no, provided retreat does not turn into rout.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euro-zone is, like the US, a large, relatively closed economy, with imports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supplying only about 10 per cent of demand. The euro would have to collapse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before it had a dramatic impact on inflation. Up to that point, a weaker exchange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rate would tend to be a help, rather than a hindrance, to activity.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At present levels the euro is not even that weak. In nominal terms the exchange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rate of the euro, extrapolated backwards against the US dollar and on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trade-weighted basis, is not far below trading bands set since the dollar's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post-1985 tumble (see chart). Calculations of real exchange rates also suggest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that the euro's weakness has given the euro-zone a welcome, but far from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dramatic, boost to external competitiveness.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If the currency collapsed, worry would be better justified. Some argue that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automatic sell orders would push the euro far below parity should it breach that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arbitrary limit. But the plunge should not continue unchecked. Markets are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occasionally silly, but there must be some limit to such silliness where the world's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second most important currency is concerned.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only real cause for worry would be if, as Mr Duisenberg has remarked, "the talk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and hype" about the euro's weakness damaged public confidence in the currency.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only fear then is fear itself - the best antidote being a robust statement by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relevant authorities that a modestly declining euro is no tragedy.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weakness of the euro is not a reflection of poor medium-term euro-zone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prospects and could be economically helpful, provided it does not cause panic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among holders of the new currency.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the fall could well reflect a lack of investor confidence in the openness of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euro-zone's bigger economies to structural change. Should Mr Eichel want to find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culprit, he must start looking close to home.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*European Economy, Supplement A, Economic Trends, http://europa.eu.int/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comm/dg02.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Martin.Wolf@ft.com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 xml:space="preserve">Copyright © The Financial Times Limited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