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Capital &amp; Trade Resources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January 14, 1999</w:t>
      </w:r>
    </w:p>
    <w:p>
      <w:pPr>
        <w:pStyle w:val="Normal"/>
        <w:widowControl/>
        <w:jc w:val="both"/>
        <w:rPr>
          <w:sz w:val="20"/>
        </w:rPr>
      </w:pPr>
      <w:r>
        <w:rPr>
          <w:sz w:val="20"/>
        </w:rPr>
      </w:r>
    </w:p>
    <w:p>
      <w:pPr>
        <w:pStyle w:val="Normal"/>
        <w:widowControl/>
        <w:jc w:val="both"/>
        <w:rPr>
          <w:sz w:val="20"/>
        </w:rPr>
      </w:pPr>
      <w:r>
        <w:rPr>
          <w:sz w:val="20"/>
        </w:rPr>
        <w:t xml:space="preserve">To: </w:t>
        <w:tab/>
        <w:tab/>
        <w:t>Enron Teeside Operations Limited (Party “B”)</w:t>
      </w:r>
    </w:p>
    <w:p>
      <w:pPr>
        <w:pStyle w:val="Normal"/>
        <w:widowControl/>
        <w:jc w:val="both"/>
        <w:rPr>
          <w:sz w:val="20"/>
        </w:rPr>
      </w:pPr>
      <w:r>
        <w:rPr>
          <w:sz w:val="20"/>
        </w:rPr>
      </w:r>
    </w:p>
    <w:p>
      <w:pPr>
        <w:pStyle w:val="Normal"/>
        <w:widowControl/>
        <w:jc w:val="both"/>
        <w:rPr>
          <w:sz w:val="20"/>
        </w:rPr>
      </w:pPr>
      <w:r>
        <w:rPr>
          <w:sz w:val="20"/>
        </w:rPr>
        <w:t>Attention:</w:t>
        <w:tab/>
        <w:t>Scott Pudenz</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sz w:val="20"/>
        </w:rPr>
      </w:pPr>
      <w:r>
        <w:rPr>
          <w:sz w:val="20"/>
        </w:rPr>
        <w:t>RE:</w:t>
        <w:tab/>
        <w:tab/>
        <w:t xml:space="preserve">Swap Transaction, Deal No. </w:t>
      </w:r>
      <w:r>
        <w:rPr>
          <w:color w:val="FF0000"/>
          <w:sz w:val="20"/>
        </w:rPr>
        <w:t>M131566</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t>1.  This Confirmation supplements, forms part of, and is subject to, the ISDA Master Agreement dated as of December 29, 1998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ab/>
        <w:t>The Swap Transaction to which this Confirmation relates is a Swaption, the terms of which are as follows:</w:t>
      </w:r>
    </w:p>
    <w:p>
      <w:pPr>
        <w:pStyle w:val="Normal"/>
        <w:widowControl/>
        <w:jc w:val="both"/>
        <w:rPr>
          <w:sz w:val="20"/>
        </w:rPr>
      </w:pPr>
      <w:r>
        <w:rPr>
          <w:sz w:val="20"/>
        </w:rPr>
      </w:r>
    </w:p>
    <w:p>
      <w:pPr>
        <w:pStyle w:val="Normal"/>
        <w:widowControl/>
        <w:numPr>
          <w:ilvl w:val="0"/>
          <w:numId w:val="2"/>
        </w:numPr>
        <w:jc w:val="both"/>
        <w:rPr>
          <w:sz w:val="20"/>
        </w:rPr>
      </w:pPr>
      <w:r>
        <w:rPr>
          <w:sz w:val="20"/>
        </w:rPr>
        <w:t>Swaption Terms</w:t>
      </w:r>
    </w:p>
    <w:p>
      <w:pPr>
        <w:pStyle w:val="Normal"/>
        <w:widowControl/>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ind w:start="720" w:end="0"/>
              <w:jc w:val="both"/>
              <w:rPr>
                <w:sz w:val="20"/>
              </w:rPr>
            </w:pPr>
            <w:r>
              <w:rPr>
                <w:sz w:val="20"/>
              </w:rPr>
              <w:t>Trade Date:</w:t>
            </w:r>
          </w:p>
        </w:tc>
        <w:tc>
          <w:tcPr>
            <w:tcW w:w="4428" w:type="dxa"/>
            <w:tcBorders/>
          </w:tcPr>
          <w:p>
            <w:pPr>
              <w:pStyle w:val="Normal"/>
              <w:widowControl/>
              <w:jc w:val="both"/>
              <w:rPr>
                <w:sz w:val="20"/>
              </w:rPr>
            </w:pPr>
            <w:r>
              <w:rPr>
                <w:sz w:val="20"/>
              </w:rPr>
              <w:t>January 14, 1999</w:t>
            </w:r>
          </w:p>
        </w:tc>
      </w:tr>
      <w:tr>
        <w:trPr/>
        <w:tc>
          <w:tcPr>
            <w:tcW w:w="4428" w:type="dxa"/>
            <w:tcBorders/>
          </w:tcPr>
          <w:p>
            <w:pPr>
              <w:pStyle w:val="Normal"/>
              <w:widowControl/>
              <w:snapToGrid w:val="false"/>
              <w:ind w:start="720" w:end="0"/>
              <w:jc w:val="both"/>
              <w:rPr>
                <w:sz w:val="20"/>
              </w:rPr>
            </w:pPr>
            <w:r>
              <w:rPr>
                <w:sz w:val="20"/>
              </w:rPr>
            </w:r>
          </w:p>
        </w:tc>
        <w:tc>
          <w:tcPr>
            <w:tcW w:w="4428" w:type="dxa"/>
            <w:tcBorders/>
          </w:tcPr>
          <w:p>
            <w:pPr>
              <w:pStyle w:val="Normal"/>
              <w:widowControl/>
              <w:snapToGrid w:val="false"/>
              <w:jc w:val="both"/>
              <w:rPr>
                <w:sz w:val="20"/>
              </w:rPr>
            </w:pPr>
            <w:r>
              <w:rPr>
                <w:sz w:val="20"/>
              </w:rPr>
            </w:r>
          </w:p>
        </w:tc>
      </w:tr>
      <w:tr>
        <w:trPr/>
        <w:tc>
          <w:tcPr>
            <w:tcW w:w="4428" w:type="dxa"/>
            <w:tcBorders/>
          </w:tcPr>
          <w:p>
            <w:pPr>
              <w:pStyle w:val="Normal"/>
              <w:widowControl/>
              <w:ind w:start="720" w:end="0"/>
              <w:jc w:val="both"/>
              <w:rPr>
                <w:sz w:val="20"/>
              </w:rPr>
            </w:pPr>
            <w:r>
              <w:rPr>
                <w:sz w:val="20"/>
              </w:rPr>
              <w:t>Option Style:</w:t>
            </w:r>
          </w:p>
        </w:tc>
        <w:tc>
          <w:tcPr>
            <w:tcW w:w="4428" w:type="dxa"/>
            <w:tcBorders/>
          </w:tcPr>
          <w:p>
            <w:pPr>
              <w:pStyle w:val="Normal"/>
              <w:widowControl/>
              <w:jc w:val="both"/>
              <w:rPr>
                <w:sz w:val="20"/>
              </w:rPr>
            </w:pPr>
            <w:r>
              <w:rPr>
                <w:sz w:val="20"/>
              </w:rPr>
              <w:t>European</w:t>
            </w:r>
          </w:p>
        </w:tc>
      </w:tr>
      <w:tr>
        <w:trPr/>
        <w:tc>
          <w:tcPr>
            <w:tcW w:w="4428" w:type="dxa"/>
            <w:tcBorders/>
          </w:tcPr>
          <w:p>
            <w:pPr>
              <w:pStyle w:val="Normal"/>
              <w:widowControl/>
              <w:snapToGrid w:val="false"/>
              <w:ind w:start="720" w:end="0"/>
              <w:jc w:val="both"/>
              <w:rPr>
                <w:sz w:val="20"/>
              </w:rPr>
            </w:pPr>
            <w:r>
              <w:rPr>
                <w:sz w:val="20"/>
              </w:rPr>
            </w:r>
          </w:p>
        </w:tc>
        <w:tc>
          <w:tcPr>
            <w:tcW w:w="4428" w:type="dxa"/>
            <w:tcBorders/>
          </w:tcPr>
          <w:p>
            <w:pPr>
              <w:pStyle w:val="Normal"/>
              <w:widowControl/>
              <w:snapToGrid w:val="false"/>
              <w:jc w:val="both"/>
              <w:rPr>
                <w:sz w:val="20"/>
              </w:rPr>
            </w:pPr>
            <w:r>
              <w:rPr>
                <w:sz w:val="20"/>
              </w:rPr>
            </w:r>
          </w:p>
        </w:tc>
      </w:tr>
      <w:tr>
        <w:trPr/>
        <w:tc>
          <w:tcPr>
            <w:tcW w:w="4428" w:type="dxa"/>
            <w:tcBorders/>
          </w:tcPr>
          <w:p>
            <w:pPr>
              <w:pStyle w:val="Normal"/>
              <w:widowControl/>
              <w:ind w:start="720" w:end="0"/>
              <w:jc w:val="both"/>
              <w:rPr>
                <w:sz w:val="20"/>
              </w:rPr>
            </w:pPr>
            <w:r>
              <w:rPr>
                <w:sz w:val="20"/>
              </w:rPr>
              <w:t>Seller:</w:t>
            </w:r>
          </w:p>
        </w:tc>
        <w:tc>
          <w:tcPr>
            <w:tcW w:w="4428" w:type="dxa"/>
            <w:tcBorders/>
          </w:tcPr>
          <w:p>
            <w:pPr>
              <w:pStyle w:val="Normal"/>
              <w:widowControl/>
              <w:jc w:val="both"/>
              <w:rPr>
                <w:sz w:val="20"/>
              </w:rPr>
            </w:pPr>
            <w:r>
              <w:rPr>
                <w:sz w:val="20"/>
              </w:rPr>
              <w:t>Party A</w:t>
            </w:r>
          </w:p>
        </w:tc>
      </w:tr>
      <w:tr>
        <w:trPr/>
        <w:tc>
          <w:tcPr>
            <w:tcW w:w="4428" w:type="dxa"/>
            <w:tcBorders/>
          </w:tcPr>
          <w:p>
            <w:pPr>
              <w:pStyle w:val="Normal"/>
              <w:widowControl/>
              <w:snapToGrid w:val="false"/>
              <w:ind w:start="720" w:end="0"/>
              <w:jc w:val="both"/>
              <w:rPr>
                <w:sz w:val="20"/>
              </w:rPr>
            </w:pPr>
            <w:r>
              <w:rPr>
                <w:sz w:val="20"/>
              </w:rPr>
            </w:r>
          </w:p>
        </w:tc>
        <w:tc>
          <w:tcPr>
            <w:tcW w:w="4428" w:type="dxa"/>
            <w:tcBorders/>
          </w:tcPr>
          <w:p>
            <w:pPr>
              <w:pStyle w:val="Normal"/>
              <w:widowControl/>
              <w:snapToGrid w:val="false"/>
              <w:jc w:val="both"/>
              <w:rPr>
                <w:sz w:val="20"/>
              </w:rPr>
            </w:pPr>
            <w:r>
              <w:rPr>
                <w:sz w:val="20"/>
              </w:rPr>
            </w:r>
          </w:p>
        </w:tc>
      </w:tr>
      <w:tr>
        <w:trPr/>
        <w:tc>
          <w:tcPr>
            <w:tcW w:w="4428" w:type="dxa"/>
            <w:tcBorders/>
          </w:tcPr>
          <w:p>
            <w:pPr>
              <w:pStyle w:val="Normal"/>
              <w:widowControl/>
              <w:ind w:start="720" w:end="0"/>
              <w:jc w:val="both"/>
              <w:rPr>
                <w:sz w:val="20"/>
              </w:rPr>
            </w:pPr>
            <w:r>
              <w:rPr>
                <w:sz w:val="20"/>
              </w:rPr>
              <w:t>Buyer:</w:t>
            </w:r>
          </w:p>
        </w:tc>
        <w:tc>
          <w:tcPr>
            <w:tcW w:w="4428" w:type="dxa"/>
            <w:tcBorders/>
          </w:tcPr>
          <w:p>
            <w:pPr>
              <w:pStyle w:val="Normal"/>
              <w:widowControl/>
              <w:jc w:val="both"/>
              <w:rPr>
                <w:sz w:val="20"/>
              </w:rPr>
            </w:pPr>
            <w:r>
              <w:rPr>
                <w:sz w:val="20"/>
              </w:rPr>
              <w:t>Party B</w:t>
            </w:r>
          </w:p>
        </w:tc>
      </w:tr>
      <w:tr>
        <w:trPr/>
        <w:tc>
          <w:tcPr>
            <w:tcW w:w="4428" w:type="dxa"/>
            <w:tcBorders/>
          </w:tcPr>
          <w:p>
            <w:pPr>
              <w:pStyle w:val="Normal"/>
              <w:widowControl/>
              <w:snapToGrid w:val="false"/>
              <w:ind w:start="720" w:end="0"/>
              <w:jc w:val="both"/>
              <w:rPr>
                <w:sz w:val="20"/>
              </w:rPr>
            </w:pPr>
            <w:r>
              <w:rPr>
                <w:sz w:val="20"/>
              </w:rPr>
            </w:r>
          </w:p>
        </w:tc>
        <w:tc>
          <w:tcPr>
            <w:tcW w:w="4428" w:type="dxa"/>
            <w:tcBorders/>
          </w:tcPr>
          <w:p>
            <w:pPr>
              <w:pStyle w:val="Normal"/>
              <w:widowControl/>
              <w:snapToGrid w:val="false"/>
              <w:jc w:val="both"/>
              <w:rPr>
                <w:sz w:val="20"/>
              </w:rPr>
            </w:pPr>
            <w:r>
              <w:rPr>
                <w:sz w:val="20"/>
              </w:rPr>
            </w:r>
          </w:p>
        </w:tc>
      </w:tr>
      <w:tr>
        <w:trPr/>
        <w:tc>
          <w:tcPr>
            <w:tcW w:w="4428" w:type="dxa"/>
            <w:tcBorders/>
          </w:tcPr>
          <w:p>
            <w:pPr>
              <w:pStyle w:val="Normal"/>
              <w:widowControl/>
              <w:ind w:start="720" w:end="0"/>
              <w:jc w:val="both"/>
              <w:rPr>
                <w:sz w:val="20"/>
              </w:rPr>
            </w:pPr>
            <w:r>
              <w:rPr>
                <w:sz w:val="20"/>
              </w:rPr>
              <w:t>Premium:</w:t>
            </w:r>
          </w:p>
        </w:tc>
        <w:tc>
          <w:tcPr>
            <w:tcW w:w="4428" w:type="dxa"/>
            <w:tcBorders/>
          </w:tcPr>
          <w:p>
            <w:pPr>
              <w:pStyle w:val="Normal"/>
              <w:widowControl/>
              <w:jc w:val="both"/>
              <w:rPr>
                <w:sz w:val="20"/>
              </w:rPr>
            </w:pPr>
            <w:r>
              <w:rPr>
                <w:sz w:val="20"/>
              </w:rPr>
              <w:t>None</w:t>
            </w:r>
          </w:p>
        </w:tc>
      </w:tr>
    </w:tbl>
    <w:p>
      <w:pPr>
        <w:pStyle w:val="Normal"/>
        <w:widowControl/>
        <w:jc w:val="both"/>
        <w:rPr>
          <w:sz w:val="20"/>
        </w:rPr>
      </w:pPr>
      <w:r>
        <w:rPr>
          <w:sz w:val="20"/>
        </w:rPr>
      </w:r>
      <w:r>
        <w:br w:type="page"/>
      </w:r>
    </w:p>
    <w:p>
      <w:pPr>
        <w:pStyle w:val="Normal"/>
        <w:widowControl/>
        <w:jc w:val="both"/>
        <w:rPr>
          <w:sz w:val="20"/>
        </w:rPr>
      </w:pPr>
      <w:r>
        <w:rPr>
          <w:sz w:val="20"/>
        </w:rPr>
        <w:t>3.   Procedure for Exercise:</w:t>
      </w:r>
    </w:p>
    <w:p>
      <w:pPr>
        <w:pStyle w:val="Normal"/>
        <w:widowControl/>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ind w:start="720" w:end="0"/>
              <w:jc w:val="both"/>
              <w:rPr>
                <w:sz w:val="20"/>
              </w:rPr>
            </w:pPr>
            <w:r>
              <w:rPr>
                <w:sz w:val="20"/>
              </w:rPr>
              <w:t>Expiration Date:</w:t>
            </w:r>
          </w:p>
        </w:tc>
        <w:tc>
          <w:tcPr>
            <w:tcW w:w="4428" w:type="dxa"/>
            <w:tcBorders/>
          </w:tcPr>
          <w:p>
            <w:pPr>
              <w:pStyle w:val="Normal"/>
              <w:widowControl/>
              <w:jc w:val="both"/>
              <w:rPr>
                <w:sz w:val="20"/>
              </w:rPr>
            </w:pPr>
            <w:r>
              <w:rPr>
                <w:sz w:val="20"/>
              </w:rPr>
              <w:t>Two New York and London Business Days preceding December 31, 2001</w:t>
            </w:r>
          </w:p>
        </w:tc>
      </w:tr>
      <w:tr>
        <w:trPr/>
        <w:tc>
          <w:tcPr>
            <w:tcW w:w="4428" w:type="dxa"/>
            <w:tcBorders/>
          </w:tcPr>
          <w:p>
            <w:pPr>
              <w:pStyle w:val="Normal"/>
              <w:widowControl/>
              <w:snapToGrid w:val="false"/>
              <w:ind w:start="720" w:end="0"/>
              <w:jc w:val="both"/>
              <w:rPr>
                <w:sz w:val="20"/>
              </w:rPr>
            </w:pPr>
            <w:r>
              <w:rPr>
                <w:sz w:val="20"/>
              </w:rPr>
            </w:r>
          </w:p>
        </w:tc>
        <w:tc>
          <w:tcPr>
            <w:tcW w:w="4428" w:type="dxa"/>
            <w:tcBorders/>
          </w:tcPr>
          <w:p>
            <w:pPr>
              <w:pStyle w:val="Normal"/>
              <w:widowControl/>
              <w:snapToGrid w:val="false"/>
              <w:jc w:val="both"/>
              <w:rPr>
                <w:sz w:val="20"/>
              </w:rPr>
            </w:pPr>
            <w:r>
              <w:rPr>
                <w:sz w:val="20"/>
              </w:rPr>
            </w:r>
          </w:p>
        </w:tc>
      </w:tr>
      <w:tr>
        <w:trPr/>
        <w:tc>
          <w:tcPr>
            <w:tcW w:w="4428" w:type="dxa"/>
            <w:tcBorders/>
          </w:tcPr>
          <w:p>
            <w:pPr>
              <w:pStyle w:val="Normal"/>
              <w:widowControl/>
              <w:ind w:start="720" w:end="0"/>
              <w:jc w:val="both"/>
              <w:rPr>
                <w:sz w:val="20"/>
              </w:rPr>
            </w:pPr>
            <w:r>
              <w:rPr>
                <w:sz w:val="20"/>
              </w:rPr>
              <w:t>Expiration Time:</w:t>
            </w:r>
          </w:p>
        </w:tc>
        <w:tc>
          <w:tcPr>
            <w:tcW w:w="4428" w:type="dxa"/>
            <w:tcBorders/>
          </w:tcPr>
          <w:p>
            <w:pPr>
              <w:pStyle w:val="Normal"/>
              <w:widowControl/>
              <w:jc w:val="both"/>
              <w:rPr>
                <w:sz w:val="20"/>
              </w:rPr>
            </w:pPr>
            <w:r>
              <w:rPr>
                <w:sz w:val="20"/>
              </w:rPr>
              <w:t>2:00 p.m., London time</w:t>
            </w:r>
          </w:p>
        </w:tc>
      </w:tr>
      <w:tr>
        <w:trPr/>
        <w:tc>
          <w:tcPr>
            <w:tcW w:w="4428" w:type="dxa"/>
            <w:tcBorders/>
          </w:tcPr>
          <w:p>
            <w:pPr>
              <w:pStyle w:val="Normal"/>
              <w:widowControl/>
              <w:snapToGrid w:val="false"/>
              <w:ind w:start="720" w:end="0"/>
              <w:jc w:val="both"/>
              <w:rPr>
                <w:sz w:val="20"/>
              </w:rPr>
            </w:pPr>
            <w:r>
              <w:rPr>
                <w:sz w:val="20"/>
              </w:rPr>
            </w:r>
          </w:p>
        </w:tc>
        <w:tc>
          <w:tcPr>
            <w:tcW w:w="4428" w:type="dxa"/>
            <w:tcBorders/>
          </w:tcPr>
          <w:p>
            <w:pPr>
              <w:pStyle w:val="Normal"/>
              <w:widowControl/>
              <w:snapToGrid w:val="false"/>
              <w:jc w:val="both"/>
              <w:rPr>
                <w:sz w:val="20"/>
              </w:rPr>
            </w:pPr>
            <w:r>
              <w:rPr>
                <w:sz w:val="20"/>
              </w:rPr>
            </w:r>
          </w:p>
        </w:tc>
      </w:tr>
      <w:tr>
        <w:trPr/>
        <w:tc>
          <w:tcPr>
            <w:tcW w:w="4428" w:type="dxa"/>
            <w:tcBorders/>
          </w:tcPr>
          <w:p>
            <w:pPr>
              <w:pStyle w:val="Normal"/>
              <w:widowControl/>
              <w:ind w:start="720" w:end="0"/>
              <w:jc w:val="both"/>
              <w:rPr>
                <w:sz w:val="20"/>
              </w:rPr>
            </w:pPr>
            <w:r>
              <w:rPr>
                <w:sz w:val="20"/>
              </w:rPr>
              <w:t>Written Confirmation of Exercise:</w:t>
            </w:r>
          </w:p>
        </w:tc>
        <w:tc>
          <w:tcPr>
            <w:tcW w:w="4428" w:type="dxa"/>
            <w:tcBorders/>
          </w:tcPr>
          <w:p>
            <w:pPr>
              <w:pStyle w:val="Normal"/>
              <w:widowControl/>
              <w:jc w:val="both"/>
              <w:rPr>
                <w:sz w:val="20"/>
              </w:rPr>
            </w:pPr>
            <w:r>
              <w:rPr>
                <w:sz w:val="20"/>
              </w:rPr>
              <w:t>Applicable</w:t>
            </w:r>
          </w:p>
        </w:tc>
      </w:tr>
      <w:tr>
        <w:trPr/>
        <w:tc>
          <w:tcPr>
            <w:tcW w:w="4428" w:type="dxa"/>
            <w:tcBorders/>
          </w:tcPr>
          <w:p>
            <w:pPr>
              <w:pStyle w:val="Normal"/>
              <w:widowControl/>
              <w:snapToGrid w:val="false"/>
              <w:ind w:start="720" w:end="0"/>
              <w:jc w:val="both"/>
              <w:rPr>
                <w:sz w:val="20"/>
              </w:rPr>
            </w:pPr>
            <w:r>
              <w:rPr>
                <w:sz w:val="20"/>
              </w:rPr>
            </w:r>
          </w:p>
        </w:tc>
        <w:tc>
          <w:tcPr>
            <w:tcW w:w="4428" w:type="dxa"/>
            <w:tcBorders/>
          </w:tcPr>
          <w:p>
            <w:pPr>
              <w:pStyle w:val="Normal"/>
              <w:widowControl/>
              <w:snapToGrid w:val="false"/>
              <w:jc w:val="both"/>
              <w:rPr>
                <w:sz w:val="20"/>
              </w:rPr>
            </w:pPr>
            <w:r>
              <w:rPr>
                <w:sz w:val="20"/>
              </w:rPr>
            </w:r>
          </w:p>
        </w:tc>
      </w:tr>
      <w:tr>
        <w:trPr/>
        <w:tc>
          <w:tcPr>
            <w:tcW w:w="4428" w:type="dxa"/>
            <w:tcBorders/>
          </w:tcPr>
          <w:p>
            <w:pPr>
              <w:pStyle w:val="Normal"/>
              <w:widowControl/>
              <w:ind w:start="720" w:end="0"/>
              <w:jc w:val="both"/>
              <w:rPr>
                <w:sz w:val="20"/>
              </w:rPr>
            </w:pPr>
            <w:r>
              <w:rPr>
                <w:sz w:val="20"/>
              </w:rPr>
              <w:t>Automatic Exercise:</w:t>
            </w:r>
          </w:p>
        </w:tc>
        <w:tc>
          <w:tcPr>
            <w:tcW w:w="4428" w:type="dxa"/>
            <w:tcBorders/>
          </w:tcPr>
          <w:p>
            <w:pPr>
              <w:pStyle w:val="Normal"/>
              <w:widowControl/>
              <w:jc w:val="both"/>
              <w:rPr>
                <w:sz w:val="20"/>
              </w:rPr>
            </w:pPr>
            <w:r>
              <w:rPr>
                <w:sz w:val="20"/>
              </w:rPr>
              <w:t>Inapplicable</w:t>
            </w:r>
          </w:p>
        </w:tc>
      </w:tr>
      <w:tr>
        <w:trPr/>
        <w:tc>
          <w:tcPr>
            <w:tcW w:w="4428" w:type="dxa"/>
            <w:tcBorders/>
          </w:tcPr>
          <w:p>
            <w:pPr>
              <w:pStyle w:val="Normal"/>
              <w:widowControl/>
              <w:snapToGrid w:val="false"/>
              <w:ind w:start="720" w:end="0"/>
              <w:jc w:val="both"/>
              <w:rPr>
                <w:sz w:val="20"/>
              </w:rPr>
            </w:pPr>
            <w:r>
              <w:rPr>
                <w:sz w:val="20"/>
              </w:rPr>
            </w:r>
          </w:p>
        </w:tc>
        <w:tc>
          <w:tcPr>
            <w:tcW w:w="4428" w:type="dxa"/>
            <w:tcBorders/>
          </w:tcPr>
          <w:p>
            <w:pPr>
              <w:pStyle w:val="Normal"/>
              <w:widowControl/>
              <w:snapToGrid w:val="false"/>
              <w:jc w:val="both"/>
              <w:rPr>
                <w:sz w:val="20"/>
              </w:rPr>
            </w:pPr>
            <w:r>
              <w:rPr>
                <w:sz w:val="20"/>
              </w:rPr>
            </w:r>
          </w:p>
        </w:tc>
      </w:tr>
      <w:tr>
        <w:trPr/>
        <w:tc>
          <w:tcPr>
            <w:tcW w:w="4428" w:type="dxa"/>
            <w:tcBorders/>
          </w:tcPr>
          <w:p>
            <w:pPr>
              <w:pStyle w:val="Normal"/>
              <w:widowControl/>
              <w:ind w:start="720" w:end="0"/>
              <w:rPr>
                <w:sz w:val="20"/>
              </w:rPr>
            </w:pPr>
            <w:r>
              <w:rPr>
                <w:sz w:val="20"/>
              </w:rPr>
              <w:t xml:space="preserve">Contact Details for </w:t>
            </w:r>
          </w:p>
          <w:p>
            <w:pPr>
              <w:pStyle w:val="Normal"/>
              <w:widowControl/>
              <w:ind w:start="720" w:end="0"/>
              <w:rPr>
                <w:sz w:val="20"/>
              </w:rPr>
            </w:pPr>
            <w:r>
              <w:rPr>
                <w:sz w:val="20"/>
              </w:rPr>
              <w:t>Purpose of Giving Notice:</w:t>
            </w:r>
          </w:p>
        </w:tc>
        <w:tc>
          <w:tcPr>
            <w:tcW w:w="4428" w:type="dxa"/>
            <w:tcBorders/>
          </w:tcPr>
          <w:p>
            <w:pPr>
              <w:pStyle w:val="Normal"/>
              <w:widowControl/>
              <w:snapToGrid w:val="false"/>
              <w:jc w:val="both"/>
              <w:rPr>
                <w:sz w:val="20"/>
              </w:rPr>
            </w:pPr>
            <w:r>
              <w:rPr>
                <w:sz w:val="20"/>
              </w:rPr>
            </w:r>
          </w:p>
          <w:p>
            <w:pPr>
              <w:pStyle w:val="Normal"/>
              <w:widowControl/>
              <w:jc w:val="both"/>
              <w:rPr>
                <w:sz w:val="20"/>
              </w:rPr>
            </w:pPr>
            <w:r>
              <w:rPr>
                <w:sz w:val="20"/>
              </w:rPr>
              <w:t>Please provide</w:t>
            </w:r>
          </w:p>
        </w:tc>
      </w:tr>
    </w:tbl>
    <w:p>
      <w:pPr>
        <w:pStyle w:val="Normal"/>
        <w:widowControl/>
        <w:jc w:val="both"/>
        <w:rPr>
          <w:sz w:val="20"/>
        </w:rPr>
      </w:pPr>
      <w:r>
        <w:rPr>
          <w:sz w:val="20"/>
        </w:rPr>
      </w:r>
    </w:p>
    <w:p>
      <w:pPr>
        <w:pStyle w:val="Normal"/>
        <w:widowControl/>
        <w:numPr>
          <w:ilvl w:val="0"/>
          <w:numId w:val="3"/>
        </w:numPr>
        <w:jc w:val="both"/>
        <w:rPr>
          <w:sz w:val="20"/>
        </w:rPr>
      </w:pPr>
      <w:r>
        <w:rPr>
          <w:sz w:val="20"/>
        </w:rPr>
        <w:t>Settlement Terms:</w:t>
      </w:r>
    </w:p>
    <w:p>
      <w:pPr>
        <w:pStyle w:val="Normal"/>
        <w:widowControl/>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ind w:start="720" w:end="0"/>
              <w:jc w:val="both"/>
              <w:rPr>
                <w:sz w:val="20"/>
              </w:rPr>
            </w:pPr>
            <w:r>
              <w:rPr>
                <w:sz w:val="20"/>
              </w:rPr>
              <w:t>Settlement:</w:t>
            </w:r>
          </w:p>
        </w:tc>
        <w:tc>
          <w:tcPr>
            <w:tcW w:w="4428" w:type="dxa"/>
            <w:tcBorders/>
          </w:tcPr>
          <w:p>
            <w:pPr>
              <w:pStyle w:val="Normal"/>
              <w:widowControl/>
              <w:jc w:val="both"/>
              <w:rPr>
                <w:sz w:val="20"/>
              </w:rPr>
            </w:pPr>
            <w:r>
              <w:rPr>
                <w:sz w:val="20"/>
              </w:rPr>
              <w:t>Physical</w:t>
            </w:r>
          </w:p>
        </w:tc>
      </w:tr>
      <w:tr>
        <w:trPr/>
        <w:tc>
          <w:tcPr>
            <w:tcW w:w="4428" w:type="dxa"/>
            <w:tcBorders/>
          </w:tcPr>
          <w:p>
            <w:pPr>
              <w:pStyle w:val="Normal"/>
              <w:widowControl/>
              <w:snapToGrid w:val="false"/>
              <w:jc w:val="both"/>
              <w:rPr>
                <w:sz w:val="20"/>
              </w:rPr>
            </w:pPr>
            <w:r>
              <w:rPr>
                <w:sz w:val="20"/>
              </w:rPr>
            </w:r>
          </w:p>
        </w:tc>
        <w:tc>
          <w:tcPr>
            <w:tcW w:w="4428" w:type="dxa"/>
            <w:tcBorders/>
          </w:tcPr>
          <w:p>
            <w:pPr>
              <w:pStyle w:val="Normal"/>
              <w:widowControl/>
              <w:snapToGrid w:val="false"/>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t>5. The particular terms of the Underlying Swap Transaction to which the Swaption relates are as follows:</w:t>
      </w:r>
    </w:p>
    <w:p>
      <w:pPr>
        <w:pStyle w:val="Normal"/>
        <w:widowControl/>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With respect to each Fixed Rate Payer and Floating Rate Payer Payment Date, the amount set forth in Exhibit I hereto opposite  such Fixed Rate Payer and Floating Rate Payer Payment Date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January 14,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December 31, 2001</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December 31, 2008,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Each June 30 and December 31 commencing June 30, 2002, through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6.25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Actual/365 (Fixed)</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r>
        <w:br w:type="page"/>
      </w:r>
    </w:p>
    <w:p>
      <w:pPr>
        <w:pStyle w:val="BodyTextIndent"/>
        <w:widowControl/>
        <w:tabs>
          <w:tab w:val="left" w:pos="90" w:leader="none"/>
          <w:tab w:val="left" w:pos="2160" w:leader="none"/>
          <w:tab w:val="left" w:pos="4140" w:leader="none"/>
          <w:tab w:val="left" w:pos="4320" w:leader="none"/>
          <w:tab w:val="left" w:pos="6480" w:leader="none"/>
        </w:tabs>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Payer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Each June 30 and December 31 commencing June 30, 2002, through and including the Termination Date, subject to adjustment in accordance with the Modified Following Business Day Convention</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GBP-LIBOR-BBA</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Six months</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None</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Actual/365 (Fixed)</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Compounding:</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Inapplicable</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Calculation Agent:</w:t>
            </w:r>
          </w:p>
        </w:tc>
        <w:tc>
          <w:tcPr>
            <w:tcW w:w="4428" w:type="dxa"/>
            <w:tcBorders/>
          </w:tcPr>
          <w:p>
            <w:pPr>
              <w:pStyle w:val="Normal"/>
              <w:widowControl/>
              <w:spacing w:before="60" w:after="0"/>
              <w:jc w:val="both"/>
              <w:rPr>
                <w:sz w:val="20"/>
              </w:rPr>
            </w:pPr>
            <w:r>
              <w:rPr>
                <w:sz w:val="20"/>
              </w:rPr>
              <w:t>Party A</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6. Account Details:</w:t>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A:</w:t>
            </w:r>
          </w:p>
        </w:tc>
        <w:tc>
          <w:tcPr>
            <w:tcW w:w="4428" w:type="dxa"/>
            <w:tcBorders/>
          </w:tcPr>
          <w:p>
            <w:pPr>
              <w:pStyle w:val="Normal"/>
              <w:widowControl/>
              <w:spacing w:before="60" w:after="0"/>
              <w:jc w:val="both"/>
              <w:rPr>
                <w:sz w:val="20"/>
              </w:rPr>
            </w:pPr>
            <w:r>
              <w:rPr>
                <w:sz w:val="20"/>
              </w:rPr>
              <w:t>Citibank, London</w:t>
            </w:r>
          </w:p>
          <w:p>
            <w:pPr>
              <w:pStyle w:val="Normal"/>
              <w:widowControl/>
              <w:spacing w:before="60" w:after="0"/>
              <w:jc w:val="both"/>
              <w:rPr>
                <w:sz w:val="20"/>
              </w:rPr>
            </w:pPr>
            <w:r>
              <w:rPr>
                <w:sz w:val="20"/>
              </w:rPr>
              <w:t>Sort Code  18-50-08</w:t>
            </w:r>
          </w:p>
          <w:p>
            <w:pPr>
              <w:pStyle w:val="Normal"/>
              <w:widowControl/>
              <w:spacing w:before="60" w:after="0"/>
              <w:jc w:val="both"/>
              <w:rPr>
                <w:sz w:val="20"/>
              </w:rPr>
            </w:pPr>
            <w:r>
              <w:rPr>
                <w:sz w:val="20"/>
              </w:rPr>
              <w:t>Acct.  8143692</w:t>
            </w:r>
          </w:p>
        </w:tc>
      </w:tr>
      <w:tr>
        <w:trPr/>
        <w:tc>
          <w:tcPr>
            <w:tcW w:w="4428" w:type="dxa"/>
            <w:tcBorders/>
          </w:tcPr>
          <w:p>
            <w:pPr>
              <w:pStyle w:val="Normal"/>
              <w:widowControl/>
              <w:snapToGrid w:val="false"/>
              <w:spacing w:before="60" w:after="0"/>
              <w:ind w:start="270" w:end="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B:</w:t>
            </w:r>
          </w:p>
        </w:tc>
        <w:tc>
          <w:tcPr>
            <w:tcW w:w="4428" w:type="dxa"/>
            <w:tcBorders/>
          </w:tcPr>
          <w:p>
            <w:pPr>
              <w:pStyle w:val="Normal"/>
              <w:widowControl/>
              <w:spacing w:before="60" w:after="0"/>
              <w:jc w:val="both"/>
              <w:rPr>
                <w:sz w:val="20"/>
              </w:rPr>
            </w:pPr>
            <w:r>
              <w:rPr>
                <w:sz w:val="20"/>
              </w:rPr>
              <w:t>Please advise</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7. Governing Law</w:t>
            </w:r>
          </w:p>
        </w:tc>
        <w:tc>
          <w:tcPr>
            <w:tcW w:w="4428" w:type="dxa"/>
            <w:tcBorders/>
          </w:tcPr>
          <w:p>
            <w:pPr>
              <w:pStyle w:val="Normal"/>
              <w:widowControl/>
              <w:spacing w:before="60" w:after="0"/>
              <w:jc w:val="both"/>
              <w:rPr>
                <w:sz w:val="20"/>
              </w:rPr>
            </w:pPr>
            <w:r>
              <w:rPr>
                <w:sz w:val="20"/>
              </w:rPr>
              <w:t>As specified in the Agreement</w:t>
            </w:r>
          </w:p>
        </w:tc>
      </w:tr>
    </w:tbl>
    <w:p>
      <w:pPr>
        <w:pStyle w:val="Normal"/>
        <w:widowControl/>
        <w:jc w:val="both"/>
        <w:rPr>
          <w:b/>
          <w:sz w:val="20"/>
        </w:rPr>
      </w:pPr>
      <w:r>
        <w:rPr>
          <w:b/>
          <w:sz w:val="20"/>
        </w:rPr>
      </w:r>
    </w:p>
    <w:p>
      <w:pPr>
        <w:pStyle w:val="Normal"/>
        <w:widowControl/>
        <w:jc w:val="both"/>
        <w:rPr>
          <w:sz w:val="20"/>
        </w:rPr>
      </w:pPr>
      <w:r>
        <w:rPr>
          <w:sz w:val="20"/>
        </w:rPr>
        <w:t>8.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Notional Amount described in this Confirmation as the property being hedged.  If Party B is a domestic entity, it uses the method of tax accounting set forth in Treasury Regulation section 1.446-3 for hedging transactions involving notional principal contracts.</w:t>
      </w:r>
      <w:r>
        <w:br w:type="page"/>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Enron Teeside Operations Limited</w:t>
      </w:r>
    </w:p>
    <w:p>
      <w:pPr>
        <w:pStyle w:val="Normal"/>
        <w:widowControl/>
        <w:jc w:val="both"/>
        <w:rPr>
          <w:b/>
          <w:sz w:val="20"/>
        </w:rPr>
      </w:pPr>
      <w:r>
        <w:rPr>
          <w:b/>
          <w:sz w:val="20"/>
        </w:rPr>
      </w:r>
    </w:p>
    <w:p>
      <w:pPr>
        <w:pStyle w:val="Normal"/>
        <w:widowControl/>
        <w:jc w:val="both"/>
        <w:rPr>
          <w:b/>
          <w:sz w:val="20"/>
        </w:rPr>
      </w:pPr>
      <w:r>
        <w:rPr>
          <w:b/>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sz w:val="20"/>
        </w:rPr>
      </w:pPr>
      <w:r>
        <w:rPr>
          <w:sz w:val="20"/>
        </w:rPr>
        <w:t xml:space="preserve">Title: </w:t>
      </w:r>
      <w:r>
        <w:rPr>
          <w:sz w:val="20"/>
          <w:u w:val="single"/>
        </w:rPr>
        <w:tab/>
        <w:tab/>
        <w:tab/>
        <w:tab/>
        <w:tab/>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r>
        <w:br w:type="page"/>
      </w:r>
    </w:p>
    <w:p>
      <w:pPr>
        <w:pStyle w:val="Normal"/>
        <w:widowControl/>
        <w:jc w:val="center"/>
        <w:rPr>
          <w:sz w:val="20"/>
        </w:rPr>
      </w:pPr>
      <w:r>
        <w:rPr>
          <w:sz w:val="20"/>
        </w:rPr>
      </w:r>
    </w:p>
    <w:p>
      <w:pPr>
        <w:pStyle w:val="Normal"/>
        <w:widowControl/>
        <w:jc w:val="center"/>
        <w:rPr>
          <w:b/>
          <w:sz w:val="20"/>
        </w:rPr>
      </w:pPr>
      <w:r>
        <w:rPr>
          <w:b/>
          <w:sz w:val="20"/>
        </w:rPr>
        <w:t xml:space="preserve">Exhibit I </w:t>
      </w:r>
    </w:p>
    <w:p>
      <w:pPr>
        <w:pStyle w:val="Normal"/>
        <w:widowControl/>
        <w:jc w:val="center"/>
        <w:rPr>
          <w:b/>
          <w:sz w:val="20"/>
        </w:rPr>
      </w:pPr>
      <w:r>
        <w:rPr>
          <w:b/>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rPr>
                <w:sz w:val="20"/>
              </w:rPr>
            </w:pPr>
            <w:r>
              <w:rPr>
                <w:sz w:val="20"/>
              </w:rPr>
              <w:t xml:space="preserve">Fixed Rate Payer and Floating Rate Payer </w:t>
            </w:r>
          </w:p>
          <w:p>
            <w:pPr>
              <w:pStyle w:val="Heading1"/>
              <w:ind w:hanging="0" w:start="0"/>
              <w:rPr/>
            </w:pPr>
            <w:r>
              <w:rPr/>
              <w:t>Payment Dates*</w:t>
            </w:r>
          </w:p>
        </w:tc>
        <w:tc>
          <w:tcPr>
            <w:tcW w:w="4428" w:type="dxa"/>
            <w:tcBorders/>
          </w:tcPr>
          <w:p>
            <w:pPr>
              <w:pStyle w:val="Normal"/>
              <w:widowControl/>
              <w:snapToGrid w:val="false"/>
              <w:jc w:val="center"/>
              <w:rPr>
                <w:sz w:val="20"/>
              </w:rPr>
            </w:pPr>
            <w:r>
              <w:rPr>
                <w:sz w:val="20"/>
              </w:rPr>
            </w:r>
          </w:p>
          <w:p>
            <w:pPr>
              <w:pStyle w:val="Heading2"/>
              <w:ind w:hanging="0" w:start="0"/>
              <w:rPr/>
            </w:pPr>
            <w:r>
              <w:rPr/>
              <w:t>Notional Amount</w:t>
            </w:r>
          </w:p>
        </w:tc>
      </w:tr>
      <w:tr>
        <w:trPr/>
        <w:tc>
          <w:tcPr>
            <w:tcW w:w="4428" w:type="dxa"/>
            <w:tcBorders/>
          </w:tcPr>
          <w:p>
            <w:pPr>
              <w:pStyle w:val="Normal"/>
              <w:widowControl/>
              <w:snapToGrid w:val="false"/>
              <w:rPr>
                <w:sz w:val="20"/>
              </w:rPr>
            </w:pPr>
            <w:r>
              <w:rPr>
                <w:sz w:val="20"/>
              </w:rPr>
            </w:r>
          </w:p>
        </w:tc>
        <w:tc>
          <w:tcPr>
            <w:tcW w:w="4428" w:type="dxa"/>
            <w:tcBorders/>
          </w:tcPr>
          <w:p>
            <w:pPr>
              <w:pStyle w:val="Normal"/>
              <w:widowControl/>
              <w:snapToGrid w:val="false"/>
              <w:jc w:val="center"/>
              <w:rPr>
                <w:sz w:val="20"/>
              </w:rPr>
            </w:pPr>
            <w:r>
              <w:rPr>
                <w:sz w:val="20"/>
              </w:rPr>
            </w:r>
          </w:p>
        </w:tc>
      </w:tr>
      <w:tr>
        <w:trPr/>
        <w:tc>
          <w:tcPr>
            <w:tcW w:w="4428" w:type="dxa"/>
            <w:tcBorders/>
          </w:tcPr>
          <w:p>
            <w:pPr>
              <w:pStyle w:val="Normal"/>
              <w:widowControl/>
              <w:rPr>
                <w:sz w:val="20"/>
              </w:rPr>
            </w:pPr>
            <w:r>
              <w:rPr>
                <w:sz w:val="20"/>
              </w:rPr>
              <w:t>June 30, 2002</w:t>
            </w:r>
          </w:p>
          <w:p>
            <w:pPr>
              <w:pStyle w:val="Normal"/>
              <w:widowControl/>
              <w:rPr>
                <w:sz w:val="20"/>
              </w:rPr>
            </w:pPr>
            <w:r>
              <w:rPr>
                <w:sz w:val="20"/>
              </w:rPr>
            </w:r>
          </w:p>
        </w:tc>
        <w:tc>
          <w:tcPr>
            <w:tcW w:w="4428" w:type="dxa"/>
            <w:tcBorders/>
          </w:tcPr>
          <w:p>
            <w:pPr>
              <w:pStyle w:val="Normal"/>
              <w:widowControl/>
              <w:jc w:val="center"/>
              <w:rPr>
                <w:sz w:val="20"/>
              </w:rPr>
            </w:pPr>
            <w:r>
              <w:rPr>
                <w:sz w:val="20"/>
              </w:rPr>
              <w:t>GBP 87,600,000.00</w:t>
            </w:r>
          </w:p>
        </w:tc>
      </w:tr>
      <w:tr>
        <w:trPr/>
        <w:tc>
          <w:tcPr>
            <w:tcW w:w="4428" w:type="dxa"/>
            <w:tcBorders/>
          </w:tcPr>
          <w:p>
            <w:pPr>
              <w:pStyle w:val="Normal"/>
              <w:widowControl/>
              <w:rPr>
                <w:sz w:val="20"/>
              </w:rPr>
            </w:pPr>
            <w:r>
              <w:rPr>
                <w:sz w:val="20"/>
              </w:rPr>
              <w:t>December 31, 2002</w:t>
            </w:r>
          </w:p>
          <w:p>
            <w:pPr>
              <w:pStyle w:val="Normal"/>
              <w:widowControl/>
              <w:rPr>
                <w:sz w:val="20"/>
              </w:rPr>
            </w:pPr>
            <w:r>
              <w:rPr>
                <w:sz w:val="20"/>
              </w:rPr>
            </w:r>
          </w:p>
        </w:tc>
        <w:tc>
          <w:tcPr>
            <w:tcW w:w="4428" w:type="dxa"/>
            <w:tcBorders/>
          </w:tcPr>
          <w:p>
            <w:pPr>
              <w:pStyle w:val="Normal"/>
              <w:widowControl/>
              <w:jc w:val="center"/>
              <w:rPr>
                <w:sz w:val="20"/>
              </w:rPr>
            </w:pPr>
            <w:r>
              <w:rPr>
                <w:sz w:val="20"/>
              </w:rPr>
              <w:t>GBP 80,800,000.00</w:t>
            </w:r>
          </w:p>
        </w:tc>
      </w:tr>
      <w:tr>
        <w:trPr/>
        <w:tc>
          <w:tcPr>
            <w:tcW w:w="4428" w:type="dxa"/>
            <w:tcBorders/>
          </w:tcPr>
          <w:p>
            <w:pPr>
              <w:pStyle w:val="Normal"/>
              <w:widowControl/>
              <w:rPr>
                <w:sz w:val="20"/>
              </w:rPr>
            </w:pPr>
            <w:r>
              <w:rPr>
                <w:sz w:val="20"/>
              </w:rPr>
              <w:t>June 30, 2003</w:t>
            </w:r>
          </w:p>
          <w:p>
            <w:pPr>
              <w:pStyle w:val="Normal"/>
              <w:widowControl/>
              <w:rPr>
                <w:sz w:val="20"/>
              </w:rPr>
            </w:pPr>
            <w:r>
              <w:rPr>
                <w:sz w:val="20"/>
              </w:rPr>
            </w:r>
          </w:p>
        </w:tc>
        <w:tc>
          <w:tcPr>
            <w:tcW w:w="4428" w:type="dxa"/>
            <w:tcBorders/>
          </w:tcPr>
          <w:p>
            <w:pPr>
              <w:pStyle w:val="Normal"/>
              <w:widowControl/>
              <w:jc w:val="center"/>
              <w:rPr>
                <w:sz w:val="20"/>
              </w:rPr>
            </w:pPr>
            <w:r>
              <w:rPr>
                <w:sz w:val="20"/>
              </w:rPr>
              <w:t>GBP 71,400,000.00</w:t>
            </w:r>
          </w:p>
        </w:tc>
      </w:tr>
      <w:tr>
        <w:trPr/>
        <w:tc>
          <w:tcPr>
            <w:tcW w:w="4428" w:type="dxa"/>
            <w:tcBorders/>
          </w:tcPr>
          <w:p>
            <w:pPr>
              <w:pStyle w:val="Normal"/>
              <w:widowControl/>
              <w:rPr>
                <w:sz w:val="20"/>
              </w:rPr>
            </w:pPr>
            <w:r>
              <w:rPr>
                <w:sz w:val="20"/>
              </w:rPr>
              <w:t>December 31, 2003</w:t>
            </w:r>
          </w:p>
          <w:p>
            <w:pPr>
              <w:pStyle w:val="Normal"/>
              <w:widowControl/>
              <w:rPr>
                <w:sz w:val="20"/>
              </w:rPr>
            </w:pPr>
            <w:r>
              <w:rPr>
                <w:sz w:val="20"/>
              </w:rPr>
            </w:r>
          </w:p>
        </w:tc>
        <w:tc>
          <w:tcPr>
            <w:tcW w:w="4428" w:type="dxa"/>
            <w:tcBorders/>
          </w:tcPr>
          <w:p>
            <w:pPr>
              <w:pStyle w:val="Normal"/>
              <w:widowControl/>
              <w:jc w:val="center"/>
              <w:rPr>
                <w:sz w:val="20"/>
              </w:rPr>
            </w:pPr>
            <w:r>
              <w:rPr>
                <w:sz w:val="20"/>
              </w:rPr>
              <w:t>GBP 65,500,000.00</w:t>
            </w:r>
          </w:p>
        </w:tc>
      </w:tr>
      <w:tr>
        <w:trPr/>
        <w:tc>
          <w:tcPr>
            <w:tcW w:w="4428" w:type="dxa"/>
            <w:tcBorders/>
          </w:tcPr>
          <w:p>
            <w:pPr>
              <w:pStyle w:val="Normal"/>
              <w:widowControl/>
              <w:rPr>
                <w:sz w:val="20"/>
              </w:rPr>
            </w:pPr>
            <w:r>
              <w:rPr>
                <w:sz w:val="20"/>
              </w:rPr>
              <w:t>June 30, 2004</w:t>
            </w:r>
          </w:p>
          <w:p>
            <w:pPr>
              <w:pStyle w:val="Normal"/>
              <w:widowControl/>
              <w:rPr>
                <w:sz w:val="20"/>
              </w:rPr>
            </w:pPr>
            <w:r>
              <w:rPr>
                <w:sz w:val="20"/>
              </w:rPr>
            </w:r>
          </w:p>
        </w:tc>
        <w:tc>
          <w:tcPr>
            <w:tcW w:w="4428" w:type="dxa"/>
            <w:tcBorders/>
          </w:tcPr>
          <w:p>
            <w:pPr>
              <w:pStyle w:val="Normal"/>
              <w:widowControl/>
              <w:jc w:val="center"/>
              <w:rPr>
                <w:sz w:val="20"/>
              </w:rPr>
            </w:pPr>
            <w:r>
              <w:rPr>
                <w:sz w:val="20"/>
              </w:rPr>
              <w:t>GBP 57,400,000.00</w:t>
            </w:r>
          </w:p>
        </w:tc>
      </w:tr>
      <w:tr>
        <w:trPr/>
        <w:tc>
          <w:tcPr>
            <w:tcW w:w="4428" w:type="dxa"/>
            <w:tcBorders/>
          </w:tcPr>
          <w:p>
            <w:pPr>
              <w:pStyle w:val="Normal"/>
              <w:widowControl/>
              <w:rPr>
                <w:sz w:val="20"/>
              </w:rPr>
            </w:pPr>
            <w:r>
              <w:rPr>
                <w:sz w:val="20"/>
              </w:rPr>
              <w:t>December 31, 2004</w:t>
            </w:r>
          </w:p>
          <w:p>
            <w:pPr>
              <w:pStyle w:val="Normal"/>
              <w:widowControl/>
              <w:rPr>
                <w:sz w:val="20"/>
              </w:rPr>
            </w:pPr>
            <w:r>
              <w:rPr>
                <w:sz w:val="20"/>
              </w:rPr>
            </w:r>
          </w:p>
        </w:tc>
        <w:tc>
          <w:tcPr>
            <w:tcW w:w="4428" w:type="dxa"/>
            <w:tcBorders/>
          </w:tcPr>
          <w:p>
            <w:pPr>
              <w:pStyle w:val="Normal"/>
              <w:widowControl/>
              <w:jc w:val="center"/>
              <w:rPr>
                <w:sz w:val="20"/>
              </w:rPr>
            </w:pPr>
            <w:r>
              <w:rPr>
                <w:sz w:val="20"/>
              </w:rPr>
              <w:t>GBP 51,800,000.00</w:t>
            </w:r>
          </w:p>
        </w:tc>
      </w:tr>
      <w:tr>
        <w:trPr/>
        <w:tc>
          <w:tcPr>
            <w:tcW w:w="4428" w:type="dxa"/>
            <w:tcBorders/>
          </w:tcPr>
          <w:p>
            <w:pPr>
              <w:pStyle w:val="Normal"/>
              <w:widowControl/>
              <w:rPr>
                <w:sz w:val="20"/>
              </w:rPr>
            </w:pPr>
            <w:r>
              <w:rPr>
                <w:sz w:val="20"/>
              </w:rPr>
              <w:t>June 30, 2005</w:t>
            </w:r>
          </w:p>
          <w:p>
            <w:pPr>
              <w:pStyle w:val="Normal"/>
              <w:widowControl/>
              <w:rPr>
                <w:sz w:val="20"/>
              </w:rPr>
            </w:pPr>
            <w:r>
              <w:rPr>
                <w:sz w:val="20"/>
              </w:rPr>
            </w:r>
          </w:p>
        </w:tc>
        <w:tc>
          <w:tcPr>
            <w:tcW w:w="4428" w:type="dxa"/>
            <w:tcBorders/>
          </w:tcPr>
          <w:p>
            <w:pPr>
              <w:pStyle w:val="Normal"/>
              <w:widowControl/>
              <w:jc w:val="center"/>
              <w:rPr>
                <w:sz w:val="20"/>
              </w:rPr>
            </w:pPr>
            <w:r>
              <w:rPr>
                <w:sz w:val="20"/>
              </w:rPr>
              <w:t>GBP 46,000,000.00</w:t>
            </w:r>
          </w:p>
        </w:tc>
      </w:tr>
      <w:tr>
        <w:trPr/>
        <w:tc>
          <w:tcPr>
            <w:tcW w:w="4428" w:type="dxa"/>
            <w:tcBorders/>
          </w:tcPr>
          <w:p>
            <w:pPr>
              <w:pStyle w:val="Normal"/>
              <w:widowControl/>
              <w:rPr>
                <w:sz w:val="20"/>
              </w:rPr>
            </w:pPr>
            <w:r>
              <w:rPr>
                <w:sz w:val="20"/>
              </w:rPr>
              <w:t>December 31, 2005</w:t>
            </w:r>
          </w:p>
          <w:p>
            <w:pPr>
              <w:pStyle w:val="Normal"/>
              <w:widowControl/>
              <w:rPr>
                <w:sz w:val="20"/>
              </w:rPr>
            </w:pPr>
            <w:r>
              <w:rPr>
                <w:sz w:val="20"/>
              </w:rPr>
            </w:r>
          </w:p>
        </w:tc>
        <w:tc>
          <w:tcPr>
            <w:tcW w:w="4428" w:type="dxa"/>
            <w:tcBorders/>
          </w:tcPr>
          <w:p>
            <w:pPr>
              <w:pStyle w:val="Normal"/>
              <w:widowControl/>
              <w:jc w:val="center"/>
              <w:rPr>
                <w:sz w:val="20"/>
              </w:rPr>
            </w:pPr>
            <w:r>
              <w:rPr>
                <w:sz w:val="20"/>
              </w:rPr>
              <w:t>GBP 41,600,000.00</w:t>
            </w:r>
          </w:p>
        </w:tc>
      </w:tr>
      <w:tr>
        <w:trPr/>
        <w:tc>
          <w:tcPr>
            <w:tcW w:w="4428" w:type="dxa"/>
            <w:tcBorders/>
          </w:tcPr>
          <w:p>
            <w:pPr>
              <w:pStyle w:val="Normal"/>
              <w:widowControl/>
              <w:rPr>
                <w:sz w:val="20"/>
              </w:rPr>
            </w:pPr>
            <w:r>
              <w:rPr>
                <w:sz w:val="20"/>
              </w:rPr>
              <w:t>June 30, 2006</w:t>
            </w:r>
          </w:p>
          <w:p>
            <w:pPr>
              <w:pStyle w:val="Normal"/>
              <w:widowControl/>
              <w:rPr>
                <w:sz w:val="20"/>
              </w:rPr>
            </w:pPr>
            <w:r>
              <w:rPr>
                <w:sz w:val="20"/>
              </w:rPr>
            </w:r>
          </w:p>
        </w:tc>
        <w:tc>
          <w:tcPr>
            <w:tcW w:w="4428" w:type="dxa"/>
            <w:tcBorders/>
          </w:tcPr>
          <w:p>
            <w:pPr>
              <w:pStyle w:val="Normal"/>
              <w:widowControl/>
              <w:jc w:val="center"/>
              <w:rPr>
                <w:sz w:val="20"/>
              </w:rPr>
            </w:pPr>
            <w:r>
              <w:rPr>
                <w:sz w:val="20"/>
              </w:rPr>
              <w:t>GBP 36,800,000.00</w:t>
            </w:r>
          </w:p>
        </w:tc>
      </w:tr>
      <w:tr>
        <w:trPr/>
        <w:tc>
          <w:tcPr>
            <w:tcW w:w="4428" w:type="dxa"/>
            <w:tcBorders/>
          </w:tcPr>
          <w:p>
            <w:pPr>
              <w:pStyle w:val="Normal"/>
              <w:widowControl/>
              <w:rPr>
                <w:sz w:val="20"/>
              </w:rPr>
            </w:pPr>
            <w:r>
              <w:rPr>
                <w:sz w:val="20"/>
              </w:rPr>
              <w:t>December 31, 2006</w:t>
            </w:r>
          </w:p>
          <w:p>
            <w:pPr>
              <w:pStyle w:val="Normal"/>
              <w:widowControl/>
              <w:rPr>
                <w:sz w:val="20"/>
              </w:rPr>
            </w:pPr>
            <w:r>
              <w:rPr>
                <w:sz w:val="20"/>
              </w:rPr>
            </w:r>
          </w:p>
        </w:tc>
        <w:tc>
          <w:tcPr>
            <w:tcW w:w="4428" w:type="dxa"/>
            <w:tcBorders/>
          </w:tcPr>
          <w:p>
            <w:pPr>
              <w:pStyle w:val="Normal"/>
              <w:widowControl/>
              <w:jc w:val="center"/>
              <w:rPr>
                <w:sz w:val="20"/>
              </w:rPr>
            </w:pPr>
            <w:r>
              <w:rPr>
                <w:sz w:val="20"/>
              </w:rPr>
              <w:t>GBP 32,400,000.00</w:t>
            </w:r>
          </w:p>
        </w:tc>
      </w:tr>
      <w:tr>
        <w:trPr/>
        <w:tc>
          <w:tcPr>
            <w:tcW w:w="4428" w:type="dxa"/>
            <w:tcBorders/>
          </w:tcPr>
          <w:p>
            <w:pPr>
              <w:pStyle w:val="Normal"/>
              <w:widowControl/>
              <w:rPr>
                <w:sz w:val="20"/>
              </w:rPr>
            </w:pPr>
            <w:r>
              <w:rPr>
                <w:sz w:val="20"/>
              </w:rPr>
              <w:t>June 30, 2007</w:t>
            </w:r>
          </w:p>
          <w:p>
            <w:pPr>
              <w:pStyle w:val="Normal"/>
              <w:widowControl/>
              <w:rPr>
                <w:sz w:val="20"/>
              </w:rPr>
            </w:pPr>
            <w:r>
              <w:rPr>
                <w:sz w:val="20"/>
              </w:rPr>
            </w:r>
          </w:p>
        </w:tc>
        <w:tc>
          <w:tcPr>
            <w:tcW w:w="4428" w:type="dxa"/>
            <w:tcBorders/>
          </w:tcPr>
          <w:p>
            <w:pPr>
              <w:pStyle w:val="Normal"/>
              <w:widowControl/>
              <w:jc w:val="center"/>
              <w:rPr>
                <w:sz w:val="20"/>
              </w:rPr>
            </w:pPr>
            <w:r>
              <w:rPr>
                <w:sz w:val="20"/>
              </w:rPr>
              <w:t>GBP 27,800,000.00</w:t>
            </w:r>
          </w:p>
        </w:tc>
      </w:tr>
      <w:tr>
        <w:trPr/>
        <w:tc>
          <w:tcPr>
            <w:tcW w:w="4428" w:type="dxa"/>
            <w:tcBorders/>
          </w:tcPr>
          <w:p>
            <w:pPr>
              <w:pStyle w:val="Normal"/>
              <w:widowControl/>
              <w:rPr>
                <w:sz w:val="20"/>
              </w:rPr>
            </w:pPr>
            <w:r>
              <w:rPr>
                <w:sz w:val="20"/>
              </w:rPr>
              <w:t>December 31, 2007</w:t>
            </w:r>
          </w:p>
          <w:p>
            <w:pPr>
              <w:pStyle w:val="Normal"/>
              <w:widowControl/>
              <w:rPr>
                <w:sz w:val="20"/>
              </w:rPr>
            </w:pPr>
            <w:r>
              <w:rPr>
                <w:sz w:val="20"/>
              </w:rPr>
            </w:r>
          </w:p>
        </w:tc>
        <w:tc>
          <w:tcPr>
            <w:tcW w:w="4428" w:type="dxa"/>
            <w:tcBorders/>
          </w:tcPr>
          <w:p>
            <w:pPr>
              <w:pStyle w:val="Normal"/>
              <w:widowControl/>
              <w:jc w:val="center"/>
              <w:rPr>
                <w:sz w:val="20"/>
              </w:rPr>
            </w:pPr>
            <w:r>
              <w:rPr>
                <w:sz w:val="20"/>
              </w:rPr>
              <w:t>GBP 22,200,000.00</w:t>
            </w:r>
          </w:p>
        </w:tc>
      </w:tr>
      <w:tr>
        <w:trPr/>
        <w:tc>
          <w:tcPr>
            <w:tcW w:w="4428" w:type="dxa"/>
            <w:tcBorders/>
          </w:tcPr>
          <w:p>
            <w:pPr>
              <w:pStyle w:val="Normal"/>
              <w:widowControl/>
              <w:rPr>
                <w:sz w:val="20"/>
              </w:rPr>
            </w:pPr>
            <w:r>
              <w:rPr>
                <w:sz w:val="20"/>
              </w:rPr>
              <w:t>June 30, 2008</w:t>
            </w:r>
          </w:p>
          <w:p>
            <w:pPr>
              <w:pStyle w:val="Normal"/>
              <w:widowControl/>
              <w:rPr>
                <w:sz w:val="20"/>
              </w:rPr>
            </w:pPr>
            <w:r>
              <w:rPr>
                <w:sz w:val="20"/>
              </w:rPr>
            </w:r>
          </w:p>
        </w:tc>
        <w:tc>
          <w:tcPr>
            <w:tcW w:w="4428" w:type="dxa"/>
            <w:tcBorders/>
          </w:tcPr>
          <w:p>
            <w:pPr>
              <w:pStyle w:val="Normal"/>
              <w:widowControl/>
              <w:jc w:val="center"/>
              <w:rPr>
                <w:sz w:val="20"/>
              </w:rPr>
            </w:pPr>
            <w:r>
              <w:rPr>
                <w:sz w:val="20"/>
              </w:rPr>
              <w:t>GBP 16,400,000.00</w:t>
            </w:r>
          </w:p>
        </w:tc>
      </w:tr>
      <w:tr>
        <w:trPr/>
        <w:tc>
          <w:tcPr>
            <w:tcW w:w="4428" w:type="dxa"/>
            <w:tcBorders/>
          </w:tcPr>
          <w:p>
            <w:pPr>
              <w:pStyle w:val="Normal"/>
              <w:widowControl/>
              <w:rPr>
                <w:sz w:val="20"/>
              </w:rPr>
            </w:pPr>
            <w:r>
              <w:rPr>
                <w:sz w:val="20"/>
              </w:rPr>
              <w:t>December 31, 2008</w:t>
            </w:r>
          </w:p>
        </w:tc>
        <w:tc>
          <w:tcPr>
            <w:tcW w:w="4428" w:type="dxa"/>
            <w:tcBorders/>
          </w:tcPr>
          <w:p>
            <w:pPr>
              <w:pStyle w:val="Normal"/>
              <w:widowControl/>
              <w:jc w:val="center"/>
              <w:rPr>
                <w:sz w:val="20"/>
              </w:rPr>
            </w:pPr>
            <w:r>
              <w:rPr>
                <w:sz w:val="20"/>
              </w:rPr>
              <w:t>GBP 7,100,000.00</w:t>
            </w:r>
          </w:p>
        </w:tc>
      </w:tr>
    </w:tbl>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*Payment Dates are subject to adjustment in accordance with the Modified Following Business Day Convention</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M131566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4"/>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outlineLvl w:val="0"/>
    </w:pPr>
    <w:rPr>
      <w:sz w:val="20"/>
      <w:u w:val="single"/>
    </w:rPr>
  </w:style>
  <w:style w:type="paragraph" w:styleId="Heading2">
    <w:name w:val="heading 2"/>
    <w:basedOn w:val="Normal"/>
    <w:next w:val="Normal"/>
    <w:qFormat/>
    <w:pPr>
      <w:keepNext w:val="true"/>
      <w:widowControl/>
      <w:numPr>
        <w:ilvl w:val="1"/>
        <w:numId w:val="1"/>
      </w:numPr>
      <w:jc w:val="center"/>
      <w:outlineLvl w:val="1"/>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1999-01-19T16:53:00Z</dcterms:created>
  <dc:creator>ECT</dc:creator>
  <dc:description/>
  <dc:language>en-CA</dc:language>
  <cp:lastModifiedBy>dneuner</cp:lastModifiedBy>
  <cp:lastPrinted>1999-01-22T09:12:00Z</cp:lastPrinted>
  <dcterms:modified xsi:type="dcterms:W3CDTF">1999-01-22T13:48:00Z</dcterms:modified>
  <cp:revision>13</cp:revision>
  <dc:subject/>
  <dc:title> </dc:title>
</cp:coreProperties>
</file>