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before="0" w:after="120"/>
        <w:jc w:val="both"/>
        <w:rPr>
          <w:sz w:val="20"/>
        </w:rPr>
      </w:pPr>
      <w:r>
        <w:rPr>
          <w:sz w:val="20"/>
        </w:rPr>
        <w:t xml:space="preserve">This document is a generic check list that outlines the most significant internal steps to be completed in closing, booking and tracking each of the indicated transactions.  Each deal will have additional steps that are not outlined and are unique or more detailed, but this document will be used as a general guideline.  </w:t>
      </w:r>
    </w:p>
    <w:p>
      <w:pPr>
        <w:pStyle w:val="Header"/>
        <w:tabs>
          <w:tab w:val="clear" w:pos="4320"/>
          <w:tab w:val="clear" w:pos="8640"/>
        </w:tabs>
        <w:spacing w:before="0" w:after="120"/>
        <w:jc w:val="both"/>
        <w:rPr>
          <w:sz w:val="20"/>
        </w:rPr>
      </w:pPr>
      <w:r>
        <w:rPr>
          <w:sz w:val="20"/>
        </w:rPr>
      </w:r>
    </w:p>
    <w:p>
      <w:pPr>
        <w:pStyle w:val="Header"/>
        <w:tabs>
          <w:tab w:val="clear" w:pos="4320"/>
          <w:tab w:val="clear" w:pos="8640"/>
        </w:tabs>
        <w:spacing w:before="0" w:after="120"/>
        <w:jc w:val="both"/>
        <w:rPr/>
      </w:pPr>
      <w:r>
        <w:rPr>
          <w:sz w:val="20"/>
        </w:rPr>
        <w:t xml:space="preserve">The types of transactions addressed are currently being originated for the Wellhead Book by </w:t>
      </w:r>
      <w:r>
        <w:rPr>
          <w:b/>
          <w:bCs/>
          <w:sz w:val="20"/>
        </w:rPr>
        <w:t>Energy</w:t>
      </w:r>
      <w:r>
        <w:rPr>
          <w:sz w:val="20"/>
        </w:rPr>
        <w:t xml:space="preserve"> Capital Resources (“ECR”) or Wellhead Origination and include…</w:t>
      </w:r>
    </w:p>
    <w:p>
      <w:pPr>
        <w:pStyle w:val="Header"/>
        <w:tabs>
          <w:tab w:val="clear" w:pos="4320"/>
          <w:tab w:val="clear" w:pos="8640"/>
        </w:tabs>
        <w:spacing w:before="0" w:after="120"/>
        <w:jc w:val="both"/>
        <w:rPr>
          <w:sz w:val="20"/>
        </w:rPr>
      </w:pPr>
      <w:r>
        <w:rPr>
          <w:sz w:val="20"/>
        </w:rPr>
      </w:r>
    </w:p>
    <w:p>
      <w:pPr>
        <w:pStyle w:val="Header"/>
        <w:numPr>
          <w:ilvl w:val="0"/>
          <w:numId w:val="3"/>
        </w:numPr>
        <w:tabs>
          <w:tab w:val="clear" w:pos="4320"/>
          <w:tab w:val="clear" w:pos="8640"/>
        </w:tabs>
        <w:spacing w:before="0" w:after="120"/>
        <w:jc w:val="both"/>
        <w:rPr>
          <w:sz w:val="20"/>
        </w:rPr>
      </w:pPr>
      <w:r>
        <w:rPr>
          <w:sz w:val="20"/>
        </w:rPr>
        <w:t>Volumetric Production Payments</w:t>
      </w:r>
    </w:p>
    <w:p>
      <w:pPr>
        <w:pStyle w:val="Header"/>
        <w:numPr>
          <w:ilvl w:val="0"/>
          <w:numId w:val="3"/>
        </w:numPr>
        <w:tabs>
          <w:tab w:val="clear" w:pos="4320"/>
          <w:tab w:val="clear" w:pos="8640"/>
        </w:tabs>
        <w:spacing w:before="0" w:after="120"/>
        <w:jc w:val="both"/>
        <w:rPr>
          <w:sz w:val="20"/>
        </w:rPr>
      </w:pPr>
      <w:r>
        <w:rPr>
          <w:sz w:val="20"/>
        </w:rPr>
        <w:t>Term Physical Purchases</w:t>
      </w:r>
    </w:p>
    <w:p>
      <w:pPr>
        <w:pStyle w:val="Header"/>
        <w:tabs>
          <w:tab w:val="clear" w:pos="4320"/>
          <w:tab w:val="clear" w:pos="8640"/>
        </w:tabs>
        <w:spacing w:before="0" w:after="120"/>
        <w:jc w:val="both"/>
        <w:rPr>
          <w:sz w:val="20"/>
        </w:rPr>
      </w:pPr>
      <w:r>
        <w:rPr>
          <w:sz w:val="20"/>
        </w:rPr>
      </w:r>
    </w:p>
    <w:p>
      <w:pPr>
        <w:pStyle w:val="Header"/>
        <w:tabs>
          <w:tab w:val="clear" w:pos="4320"/>
          <w:tab w:val="clear" w:pos="8640"/>
        </w:tabs>
        <w:spacing w:before="0" w:after="120"/>
        <w:jc w:val="both"/>
        <w:rPr>
          <w:sz w:val="20"/>
        </w:rPr>
      </w:pPr>
      <w:r>
        <w:rPr>
          <w:sz w:val="20"/>
        </w:rPr>
        <w:t>The groups/people involved and their general responsibilities in these processes are summarized below:</w:t>
      </w:r>
    </w:p>
    <w:p>
      <w:pPr>
        <w:pStyle w:val="Header"/>
        <w:tabs>
          <w:tab w:val="clear" w:pos="4320"/>
          <w:tab w:val="clear" w:pos="8640"/>
        </w:tabs>
        <w:spacing w:before="0" w:after="120"/>
        <w:jc w:val="both"/>
        <w:rPr/>
      </w:pPr>
      <w:r>
        <w:rPr>
          <w:b/>
          <w:bCs/>
          <w:sz w:val="20"/>
        </w:rPr>
        <w:t>Energy</w:t>
      </w:r>
      <w:r>
        <w:rPr>
          <w:sz w:val="20"/>
        </w:rPr>
        <w:t xml:space="preserve"> Capital Resources (ECR)</w:t>
      </w:r>
    </w:p>
    <w:p>
      <w:pPr>
        <w:pStyle w:val="Header"/>
        <w:numPr>
          <w:ilvl w:val="0"/>
          <w:numId w:val="8"/>
        </w:numPr>
        <w:tabs>
          <w:tab w:val="clear" w:pos="4320"/>
          <w:tab w:val="clear" w:pos="8640"/>
        </w:tabs>
        <w:spacing w:before="0" w:after="120"/>
        <w:jc w:val="both"/>
        <w:rPr>
          <w:sz w:val="20"/>
        </w:rPr>
      </w:pPr>
      <w:r>
        <w:rPr>
          <w:sz w:val="20"/>
        </w:rPr>
        <w:t xml:space="preserve">Joan Quick, </w:t>
      </w:r>
      <w:r>
        <w:rPr>
          <w:b/>
          <w:bCs/>
          <w:sz w:val="20"/>
        </w:rPr>
        <w:t>Tricia</w:t>
      </w:r>
      <w:r>
        <w:rPr>
          <w:sz w:val="20"/>
        </w:rPr>
        <w:t xml:space="preserve"> Spence, Diane Cook – all matters.</w:t>
      </w:r>
    </w:p>
    <w:p>
      <w:pPr>
        <w:pStyle w:val="Header"/>
        <w:numPr>
          <w:ilvl w:val="0"/>
          <w:numId w:val="8"/>
        </w:numPr>
        <w:tabs>
          <w:tab w:val="clear" w:pos="4320"/>
          <w:tab w:val="clear" w:pos="8640"/>
        </w:tabs>
        <w:spacing w:before="0" w:after="120"/>
        <w:jc w:val="both"/>
        <w:rPr>
          <w:sz w:val="20"/>
        </w:rPr>
      </w:pPr>
      <w:r>
        <w:rPr>
          <w:sz w:val="20"/>
        </w:rPr>
        <w:t>Craig Fox – reserve engineering.</w:t>
      </w:r>
    </w:p>
    <w:p>
      <w:pPr>
        <w:pStyle w:val="Header"/>
        <w:numPr>
          <w:ilvl w:val="0"/>
          <w:numId w:val="8"/>
        </w:numPr>
        <w:tabs>
          <w:tab w:val="clear" w:pos="4320"/>
          <w:tab w:val="clear" w:pos="8640"/>
        </w:tabs>
        <w:spacing w:before="0" w:after="120"/>
        <w:jc w:val="both"/>
        <w:rPr>
          <w:sz w:val="20"/>
        </w:rPr>
      </w:pPr>
      <w:r>
        <w:rPr>
          <w:b/>
          <w:bCs/>
          <w:sz w:val="20"/>
        </w:rPr>
        <w:t>Merrill</w:t>
      </w:r>
      <w:r>
        <w:rPr>
          <w:sz w:val="20"/>
        </w:rPr>
        <w:t xml:space="preserve"> Haas – title due diligence.</w:t>
      </w:r>
    </w:p>
    <w:p>
      <w:pPr>
        <w:pStyle w:val="Header"/>
        <w:numPr>
          <w:ilvl w:val="0"/>
          <w:numId w:val="8"/>
        </w:numPr>
        <w:tabs>
          <w:tab w:val="clear" w:pos="4320"/>
          <w:tab w:val="clear" w:pos="8640"/>
        </w:tabs>
        <w:spacing w:before="0" w:after="120"/>
        <w:jc w:val="both"/>
        <w:rPr>
          <w:sz w:val="20"/>
        </w:rPr>
      </w:pPr>
      <w:r>
        <w:rPr>
          <w:sz w:val="20"/>
        </w:rPr>
        <w:t xml:space="preserve">Environmental Compliance – </w:t>
      </w:r>
      <w:r>
        <w:rPr>
          <w:b/>
          <w:bCs/>
          <w:sz w:val="20"/>
        </w:rPr>
        <w:t>Arvel Martin [working with legal].</w:t>
      </w:r>
    </w:p>
    <w:p>
      <w:pPr>
        <w:pStyle w:val="Header"/>
        <w:tabs>
          <w:tab w:val="clear" w:pos="4320"/>
          <w:tab w:val="clear" w:pos="8640"/>
        </w:tabs>
        <w:spacing w:before="0" w:after="120"/>
        <w:jc w:val="both"/>
        <w:rPr>
          <w:sz w:val="20"/>
        </w:rPr>
      </w:pPr>
      <w:r>
        <w:rPr>
          <w:sz w:val="20"/>
        </w:rPr>
        <w:t>Wellhead Book</w:t>
      </w:r>
    </w:p>
    <w:p>
      <w:pPr>
        <w:pStyle w:val="Header"/>
        <w:numPr>
          <w:ilvl w:val="0"/>
          <w:numId w:val="1"/>
        </w:numPr>
        <w:tabs>
          <w:tab w:val="clear" w:pos="4320"/>
          <w:tab w:val="clear" w:pos="8640"/>
        </w:tabs>
        <w:spacing w:before="0" w:after="120"/>
        <w:jc w:val="both"/>
        <w:rPr>
          <w:sz w:val="20"/>
        </w:rPr>
      </w:pPr>
      <w:r>
        <w:rPr>
          <w:sz w:val="20"/>
        </w:rPr>
        <w:t xml:space="preserve">John Grass, Kathy Kelly, Judy Thorne – all matters, (physical quotes, contracts etc.) </w:t>
      </w:r>
      <w:r>
        <w:rPr>
          <w:b/>
          <w:bCs/>
          <w:sz w:val="20"/>
        </w:rPr>
        <w:t>what about cindy franklin?</w:t>
      </w:r>
    </w:p>
    <w:p>
      <w:pPr>
        <w:pStyle w:val="Header"/>
        <w:numPr>
          <w:ilvl w:val="0"/>
          <w:numId w:val="1"/>
        </w:numPr>
        <w:tabs>
          <w:tab w:val="clear" w:pos="4320"/>
          <w:tab w:val="clear" w:pos="8640"/>
        </w:tabs>
        <w:spacing w:before="0" w:after="120"/>
        <w:jc w:val="both"/>
        <w:rPr>
          <w:sz w:val="20"/>
        </w:rPr>
      </w:pPr>
      <w:r>
        <w:rPr>
          <w:sz w:val="20"/>
        </w:rPr>
        <w:t>George Smith – logistics.</w:t>
      </w:r>
    </w:p>
    <w:p>
      <w:pPr>
        <w:pStyle w:val="Header"/>
        <w:numPr>
          <w:ilvl w:val="0"/>
          <w:numId w:val="1"/>
        </w:numPr>
        <w:tabs>
          <w:tab w:val="clear" w:pos="4320"/>
          <w:tab w:val="clear" w:pos="8640"/>
        </w:tabs>
        <w:spacing w:before="0" w:after="120"/>
        <w:jc w:val="both"/>
        <w:rPr>
          <w:sz w:val="20"/>
        </w:rPr>
      </w:pPr>
      <w:r>
        <w:rPr>
          <w:sz w:val="20"/>
        </w:rPr>
        <w:t>Gerald Nemec – contracts.</w:t>
      </w:r>
    </w:p>
    <w:p>
      <w:pPr>
        <w:pStyle w:val="Header"/>
        <w:numPr>
          <w:ilvl w:val="0"/>
          <w:numId w:val="1"/>
        </w:numPr>
        <w:tabs>
          <w:tab w:val="clear" w:pos="4320"/>
          <w:tab w:val="clear" w:pos="8640"/>
        </w:tabs>
        <w:spacing w:before="0" w:after="120"/>
        <w:jc w:val="both"/>
        <w:rPr>
          <w:sz w:val="20"/>
        </w:rPr>
      </w:pPr>
      <w:r>
        <w:rPr>
          <w:sz w:val="20"/>
        </w:rPr>
        <w:t>Linda Roberts, Jill Zivley, Gary Bryan, Jennifer Martinez, Nelson Ferries – origination.</w:t>
      </w:r>
    </w:p>
    <w:p>
      <w:pPr>
        <w:pStyle w:val="Header"/>
        <w:tabs>
          <w:tab w:val="clear" w:pos="4320"/>
          <w:tab w:val="clear" w:pos="8640"/>
        </w:tabs>
        <w:spacing w:before="0" w:after="120"/>
        <w:jc w:val="both"/>
        <w:rPr>
          <w:sz w:val="20"/>
        </w:rPr>
      </w:pPr>
      <w:r>
        <w:rPr>
          <w:sz w:val="20"/>
        </w:rPr>
        <w:t>Producer One Services – Kevin Miller.</w:t>
      </w:r>
    </w:p>
    <w:p>
      <w:pPr>
        <w:pStyle w:val="Header"/>
        <w:tabs>
          <w:tab w:val="clear" w:pos="4320"/>
          <w:tab w:val="clear" w:pos="8640"/>
        </w:tabs>
        <w:spacing w:before="0" w:after="120"/>
        <w:jc w:val="both"/>
        <w:rPr>
          <w:sz w:val="20"/>
        </w:rPr>
      </w:pPr>
      <w:r>
        <w:rPr>
          <w:sz w:val="20"/>
        </w:rPr>
        <w:t>Gas Structuring</w:t>
      </w:r>
    </w:p>
    <w:p>
      <w:pPr>
        <w:pStyle w:val="Header"/>
        <w:numPr>
          <w:ilvl w:val="0"/>
          <w:numId w:val="6"/>
        </w:numPr>
        <w:tabs>
          <w:tab w:val="clear" w:pos="4320"/>
          <w:tab w:val="clear" w:pos="8640"/>
        </w:tabs>
        <w:spacing w:before="0" w:after="120"/>
        <w:jc w:val="both"/>
        <w:rPr>
          <w:sz w:val="20"/>
        </w:rPr>
      </w:pPr>
      <w:r>
        <w:rPr>
          <w:sz w:val="20"/>
        </w:rPr>
        <w:t>Ed McMichael, Eric Boyt – physical &amp; financial quotes, physical flow &amp; general coordination.</w:t>
      </w:r>
    </w:p>
    <w:p>
      <w:pPr>
        <w:pStyle w:val="Header"/>
        <w:tabs>
          <w:tab w:val="clear" w:pos="4320"/>
          <w:tab w:val="clear" w:pos="8640"/>
        </w:tabs>
        <w:spacing w:before="0" w:after="120"/>
        <w:jc w:val="both"/>
        <w:rPr>
          <w:sz w:val="20"/>
        </w:rPr>
      </w:pPr>
      <w:r>
        <w:rPr>
          <w:sz w:val="20"/>
        </w:rPr>
        <w:t>Risk Management</w:t>
      </w:r>
    </w:p>
    <w:p>
      <w:pPr>
        <w:pStyle w:val="Header"/>
        <w:numPr>
          <w:ilvl w:val="0"/>
          <w:numId w:val="6"/>
        </w:numPr>
        <w:tabs>
          <w:tab w:val="clear" w:pos="4320"/>
          <w:tab w:val="clear" w:pos="8640"/>
        </w:tabs>
        <w:spacing w:before="0" w:after="120"/>
        <w:jc w:val="both"/>
        <w:rPr>
          <w:sz w:val="20"/>
        </w:rPr>
      </w:pPr>
      <w:r>
        <w:rPr>
          <w:sz w:val="20"/>
        </w:rPr>
        <w:t>Jeff Gossett, Scott Palmer – all “booking” matters - TAGG and Sitara.</w:t>
      </w:r>
    </w:p>
    <w:p>
      <w:pPr>
        <w:pStyle w:val="Header"/>
        <w:tabs>
          <w:tab w:val="clear" w:pos="4320"/>
          <w:tab w:val="clear" w:pos="8640"/>
        </w:tabs>
        <w:spacing w:before="0" w:after="120"/>
        <w:jc w:val="both"/>
        <w:rPr>
          <w:sz w:val="20"/>
        </w:rPr>
      </w:pPr>
      <w:r>
        <w:rPr>
          <w:sz w:val="20"/>
        </w:rPr>
        <w:t>Credit</w:t>
      </w:r>
    </w:p>
    <w:p>
      <w:pPr>
        <w:pStyle w:val="Header"/>
        <w:numPr>
          <w:ilvl w:val="0"/>
          <w:numId w:val="6"/>
        </w:numPr>
        <w:tabs>
          <w:tab w:val="clear" w:pos="4320"/>
          <w:tab w:val="clear" w:pos="8640"/>
        </w:tabs>
        <w:spacing w:before="0" w:after="120"/>
        <w:jc w:val="both"/>
        <w:rPr>
          <w:sz w:val="20"/>
        </w:rPr>
      </w:pPr>
      <w:r>
        <w:rPr>
          <w:sz w:val="20"/>
        </w:rPr>
        <w:t>Tanya Rohauer – review of credit exposure.</w:t>
      </w:r>
    </w:p>
    <w:p>
      <w:pPr>
        <w:pStyle w:val="Header"/>
        <w:tabs>
          <w:tab w:val="clear" w:pos="4320"/>
          <w:tab w:val="clear" w:pos="8640"/>
        </w:tabs>
        <w:spacing w:before="0" w:after="120"/>
        <w:jc w:val="both"/>
        <w:rPr>
          <w:sz w:val="20"/>
        </w:rPr>
      </w:pPr>
      <w:r>
        <w:rPr>
          <w:sz w:val="20"/>
        </w:rPr>
        <w:t>Settlements</w:t>
      </w:r>
    </w:p>
    <w:p>
      <w:pPr>
        <w:pStyle w:val="Header"/>
        <w:numPr>
          <w:ilvl w:val="0"/>
          <w:numId w:val="6"/>
        </w:numPr>
        <w:tabs>
          <w:tab w:val="clear" w:pos="4320"/>
          <w:tab w:val="clear" w:pos="8640"/>
        </w:tabs>
        <w:spacing w:before="0" w:after="120"/>
        <w:jc w:val="both"/>
        <w:rPr>
          <w:sz w:val="20"/>
        </w:rPr>
      </w:pPr>
      <w:r>
        <w:rPr>
          <w:sz w:val="20"/>
        </w:rPr>
        <w:t>Jane Saladino – all matters regarding settlements.</w:t>
      </w:r>
    </w:p>
    <w:p>
      <w:pPr>
        <w:pStyle w:val="Header"/>
        <w:tabs>
          <w:tab w:val="clear" w:pos="4320"/>
          <w:tab w:val="clear" w:pos="8640"/>
        </w:tabs>
        <w:spacing w:before="0" w:after="120"/>
        <w:jc w:val="both"/>
        <w:rPr>
          <w:sz w:val="20"/>
        </w:rPr>
      </w:pPr>
      <w:r>
        <w:rPr>
          <w:sz w:val="20"/>
        </w:rPr>
        <w:t>Confirmations</w:t>
      </w:r>
    </w:p>
    <w:p>
      <w:pPr>
        <w:pStyle w:val="Header"/>
        <w:numPr>
          <w:ilvl w:val="0"/>
          <w:numId w:val="6"/>
        </w:numPr>
        <w:tabs>
          <w:tab w:val="clear" w:pos="4320"/>
          <w:tab w:val="clear" w:pos="8640"/>
        </w:tabs>
        <w:spacing w:before="0" w:after="120"/>
        <w:jc w:val="both"/>
        <w:rPr>
          <w:sz w:val="20"/>
        </w:rPr>
      </w:pPr>
      <w:r>
        <w:rPr>
          <w:sz w:val="20"/>
        </w:rPr>
        <w:t>Ellen Wallumrod – all matters regarding confirmations.</w:t>
      </w:r>
    </w:p>
    <w:p>
      <w:pPr>
        <w:pStyle w:val="Header"/>
        <w:tabs>
          <w:tab w:val="clear" w:pos="4320"/>
          <w:tab w:val="clear" w:pos="8640"/>
        </w:tabs>
        <w:spacing w:before="0" w:after="120"/>
        <w:jc w:val="both"/>
        <w:rPr>
          <w:sz w:val="20"/>
        </w:rPr>
      </w:pPr>
      <w:r>
        <w:rPr>
          <w:sz w:val="20"/>
        </w:rPr>
        <w:t>Legal</w:t>
      </w:r>
    </w:p>
    <w:p>
      <w:pPr>
        <w:pStyle w:val="Header"/>
        <w:numPr>
          <w:ilvl w:val="0"/>
          <w:numId w:val="6"/>
        </w:numPr>
        <w:tabs>
          <w:tab w:val="clear" w:pos="4320"/>
          <w:tab w:val="clear" w:pos="8640"/>
        </w:tabs>
        <w:spacing w:before="0" w:after="120"/>
        <w:jc w:val="both"/>
        <w:rPr>
          <w:sz w:val="20"/>
        </w:rPr>
      </w:pPr>
      <w:r>
        <w:rPr>
          <w:sz w:val="20"/>
        </w:rPr>
        <w:t>Mary Cook – Financial Swaps.</w:t>
      </w:r>
    </w:p>
    <w:p>
      <w:pPr>
        <w:pStyle w:val="Header"/>
        <w:numPr>
          <w:ilvl w:val="0"/>
          <w:numId w:val="6"/>
        </w:numPr>
        <w:tabs>
          <w:tab w:val="clear" w:pos="4320"/>
          <w:tab w:val="clear" w:pos="8640"/>
        </w:tabs>
        <w:spacing w:before="0" w:after="120"/>
        <w:jc w:val="both"/>
        <w:rPr>
          <w:sz w:val="20"/>
        </w:rPr>
      </w:pPr>
      <w:r>
        <w:rPr>
          <w:sz w:val="20"/>
        </w:rPr>
        <w:t xml:space="preserve">Teresa Bushman </w:t>
      </w:r>
      <w:r>
        <w:rPr>
          <w:b/>
          <w:bCs/>
          <w:sz w:val="20"/>
        </w:rPr>
        <w:t xml:space="preserve">and Nancy Corbet - </w:t>
      </w:r>
      <w:r>
        <w:rPr>
          <w:sz w:val="20"/>
        </w:rPr>
        <w:t>VPP/Prepay documents.</w:t>
      </w:r>
      <w:r>
        <w:br w:type="page"/>
      </w:r>
    </w:p>
    <w:p>
      <w:pPr>
        <w:pStyle w:val="Header"/>
        <w:tabs>
          <w:tab w:val="clear" w:pos="4320"/>
          <w:tab w:val="clear" w:pos="8640"/>
        </w:tabs>
        <w:spacing w:before="0" w:after="120"/>
        <w:jc w:val="both"/>
        <w:rPr>
          <w:b/>
          <w:bCs/>
          <w:sz w:val="20"/>
        </w:rPr>
      </w:pPr>
      <w:r>
        <w:rPr>
          <w:b/>
          <w:bCs/>
          <w:sz w:val="20"/>
        </w:rPr>
      </w:r>
    </w:p>
    <w:p>
      <w:pPr>
        <w:pStyle w:val="Header"/>
        <w:numPr>
          <w:ilvl w:val="0"/>
          <w:numId w:val="15"/>
        </w:numPr>
        <w:tabs>
          <w:tab w:val="clear" w:pos="4320"/>
          <w:tab w:val="clear" w:pos="8640"/>
        </w:tabs>
        <w:spacing w:before="0" w:after="120"/>
        <w:jc w:val="both"/>
        <w:rPr>
          <w:b/>
          <w:bCs/>
          <w:sz w:val="20"/>
        </w:rPr>
      </w:pPr>
      <w:r>
        <w:rPr>
          <w:b/>
          <w:bCs/>
          <w:sz w:val="20"/>
        </w:rPr>
        <w:t>Volumetric Production Payment (VPP)</w:t>
      </w:r>
    </w:p>
    <w:p>
      <w:pPr>
        <w:pStyle w:val="Header"/>
        <w:tabs>
          <w:tab w:val="clear" w:pos="4320"/>
          <w:tab w:val="clear" w:pos="8640"/>
        </w:tabs>
        <w:spacing w:before="0" w:after="120"/>
        <w:ind w:start="360" w:end="0"/>
        <w:jc w:val="both"/>
        <w:rPr/>
      </w:pPr>
      <w:r>
        <w:rPr>
          <w:sz w:val="20"/>
        </w:rPr>
        <w:t xml:space="preserve">The steps outlined below would be applicable to both a VPP and a Pre-Pay, except the physical due diligence would be less significant in a pre-pay as Enron would not be buying the gas, but simply collecting proceeds from the sale of the hydrocarbons. </w:t>
      </w:r>
      <w:r>
        <w:rPr>
          <w:b/>
          <w:bCs/>
          <w:sz w:val="20"/>
        </w:rPr>
        <w:t xml:space="preserve"> You may want to check this out.  I believe “normally” for a pre-pay, Enron would be buying the product in kind.  The EEX deal was a deal unlike others.  As far as I know, pre-pays are currently seldom done – we used to do A LOT of them, when Enron wanted physical supply, and we took product in kind. </w:t>
      </w:r>
      <w:r>
        <w:rPr>
          <w:sz w:val="20"/>
        </w:rPr>
        <w:t xml:space="preserve"> The steps concentrate on natural gas, not oil, as ECR has typically handled this with Enron Global Markets (“EGM”) directly.  To the extent the Wellhead Book can and does begin to buy and </w:t>
      </w:r>
      <w:r>
        <w:rPr>
          <w:b/>
          <w:bCs/>
          <w:sz w:val="20"/>
        </w:rPr>
        <w:t>sell</w:t>
      </w:r>
      <w:r>
        <w:rPr>
          <w:sz w:val="20"/>
        </w:rPr>
        <w:t xml:space="preserve"> oil, the checklist would need to be revised appropriately.</w:t>
      </w:r>
    </w:p>
    <w:p>
      <w:pPr>
        <w:pStyle w:val="Header"/>
        <w:tabs>
          <w:tab w:val="clear" w:pos="4320"/>
          <w:tab w:val="clear" w:pos="8640"/>
        </w:tabs>
        <w:spacing w:before="0" w:after="120"/>
        <w:jc w:val="both"/>
        <w:rPr>
          <w:b/>
          <w:bCs/>
          <w:sz w:val="20"/>
        </w:rPr>
      </w:pPr>
      <w:r>
        <w:rPr>
          <w:b/>
          <w:bCs/>
          <w:sz w:val="20"/>
        </w:rPr>
      </w:r>
    </w:p>
    <w:p>
      <w:pPr>
        <w:pStyle w:val="Header"/>
        <w:numPr>
          <w:ilvl w:val="0"/>
          <w:numId w:val="9"/>
        </w:numPr>
        <w:tabs>
          <w:tab w:val="clear" w:pos="4320"/>
          <w:tab w:val="clear" w:pos="8640"/>
        </w:tabs>
        <w:spacing w:before="0" w:after="120"/>
        <w:jc w:val="both"/>
        <w:rPr>
          <w:sz w:val="20"/>
        </w:rPr>
      </w:pPr>
      <w:r>
        <w:rPr>
          <w:sz w:val="20"/>
        </w:rPr>
        <w:t xml:space="preserve">After ECR </w:t>
      </w:r>
      <w:r>
        <w:rPr>
          <w:b/>
          <w:bCs/>
          <w:sz w:val="20"/>
        </w:rPr>
        <w:t xml:space="preserve">has a signed Letter of Interest (“LOI”), with a Term Sheet attached [the LOI has CA provisions] </w:t>
      </w:r>
      <w:r>
        <w:rPr>
          <w:sz w:val="20"/>
        </w:rPr>
        <w:t>with a counterparty, then the following items should be completed…</w:t>
      </w:r>
    </w:p>
    <w:p>
      <w:pPr>
        <w:pStyle w:val="Header"/>
        <w:numPr>
          <w:ilvl w:val="0"/>
          <w:numId w:val="12"/>
        </w:numPr>
        <w:tabs>
          <w:tab w:val="clear" w:pos="4320"/>
          <w:tab w:val="clear" w:pos="8640"/>
        </w:tabs>
        <w:spacing w:before="0" w:after="120"/>
        <w:jc w:val="both"/>
        <w:rPr>
          <w:sz w:val="20"/>
        </w:rPr>
      </w:pPr>
      <w:r>
        <w:rPr>
          <w:sz w:val="20"/>
        </w:rPr>
        <w:t xml:space="preserve">Preliminary reserve engineering review. </w:t>
      </w:r>
    </w:p>
    <w:p>
      <w:pPr>
        <w:pStyle w:val="Header"/>
        <w:numPr>
          <w:ilvl w:val="0"/>
          <w:numId w:val="12"/>
        </w:numPr>
        <w:tabs>
          <w:tab w:val="clear" w:pos="4320"/>
          <w:tab w:val="clear" w:pos="8640"/>
        </w:tabs>
        <w:spacing w:before="0" w:after="120"/>
        <w:jc w:val="both"/>
        <w:rPr>
          <w:sz w:val="20"/>
        </w:rPr>
      </w:pPr>
      <w:r>
        <w:rPr>
          <w:sz w:val="20"/>
        </w:rPr>
        <w:t>Initial Due Diligence on Properties (location &amp; volume).</w:t>
      </w:r>
    </w:p>
    <w:p>
      <w:pPr>
        <w:pStyle w:val="Header"/>
        <w:numPr>
          <w:ilvl w:val="0"/>
          <w:numId w:val="12"/>
        </w:numPr>
        <w:tabs>
          <w:tab w:val="clear" w:pos="4320"/>
          <w:tab w:val="clear" w:pos="8640"/>
        </w:tabs>
        <w:spacing w:before="0" w:after="120"/>
        <w:jc w:val="both"/>
        <w:rPr>
          <w:sz w:val="20"/>
        </w:rPr>
      </w:pPr>
      <w:r>
        <w:rPr>
          <w:sz w:val="20"/>
        </w:rPr>
        <w:t>Preliminary NYMEX and basis quotes for financial hedge.</w:t>
      </w:r>
    </w:p>
    <w:p>
      <w:pPr>
        <w:pStyle w:val="Header"/>
        <w:numPr>
          <w:ilvl w:val="0"/>
          <w:numId w:val="12"/>
        </w:numPr>
        <w:tabs>
          <w:tab w:val="clear" w:pos="4320"/>
          <w:tab w:val="clear" w:pos="8640"/>
        </w:tabs>
        <w:spacing w:before="0" w:after="120"/>
        <w:jc w:val="both"/>
        <w:rPr>
          <w:sz w:val="20"/>
        </w:rPr>
      </w:pPr>
      <w:r>
        <w:rPr>
          <w:sz w:val="20"/>
        </w:rPr>
        <w:t>Preliminary Credit Review of counterparty and possible field operators and gas purchasers.</w:t>
      </w:r>
    </w:p>
    <w:p>
      <w:pPr>
        <w:pStyle w:val="Header"/>
        <w:numPr>
          <w:ilvl w:val="0"/>
          <w:numId w:val="12"/>
        </w:numPr>
        <w:tabs>
          <w:tab w:val="clear" w:pos="4320"/>
          <w:tab w:val="clear" w:pos="8640"/>
        </w:tabs>
        <w:spacing w:before="0" w:after="120"/>
        <w:jc w:val="both"/>
        <w:rPr>
          <w:sz w:val="20"/>
        </w:rPr>
      </w:pPr>
      <w:r>
        <w:rPr>
          <w:sz w:val="20"/>
        </w:rPr>
        <w:t>Initial review of whether VPP will be in Brazos or other funding vehicle, or on balance sheet.</w:t>
      </w:r>
    </w:p>
    <w:p>
      <w:pPr>
        <w:pStyle w:val="Header"/>
        <w:numPr>
          <w:ilvl w:val="0"/>
          <w:numId w:val="12"/>
        </w:numPr>
        <w:tabs>
          <w:tab w:val="clear" w:pos="4320"/>
          <w:tab w:val="clear" w:pos="8640"/>
        </w:tabs>
        <w:spacing w:before="0" w:after="120"/>
        <w:jc w:val="both"/>
        <w:rPr>
          <w:sz w:val="20"/>
        </w:rPr>
      </w:pPr>
      <w:r>
        <w:rPr>
          <w:sz w:val="20"/>
        </w:rPr>
        <w:t>Begin discussion with Wellhead Book regarding buying VPP firm gas and excess gas in-kind (identify need to get transport / gathering agreements).</w:t>
      </w:r>
    </w:p>
    <w:p>
      <w:pPr>
        <w:pStyle w:val="Header"/>
        <w:numPr>
          <w:ilvl w:val="0"/>
          <w:numId w:val="12"/>
        </w:numPr>
        <w:tabs>
          <w:tab w:val="clear" w:pos="4320"/>
          <w:tab w:val="clear" w:pos="8640"/>
        </w:tabs>
        <w:spacing w:before="0" w:after="120"/>
        <w:jc w:val="both"/>
        <w:rPr>
          <w:sz w:val="20"/>
        </w:rPr>
      </w:pPr>
      <w:r>
        <w:rPr>
          <w:sz w:val="20"/>
        </w:rPr>
        <w:t xml:space="preserve">All the above is factored into the ECR valuation model to calculate proceeds to the counterparty. </w:t>
      </w:r>
    </w:p>
    <w:p>
      <w:pPr>
        <w:pStyle w:val="Header"/>
        <w:numPr>
          <w:ilvl w:val="0"/>
          <w:numId w:val="12"/>
        </w:numPr>
        <w:tabs>
          <w:tab w:val="clear" w:pos="4320"/>
          <w:tab w:val="clear" w:pos="8640"/>
        </w:tabs>
        <w:spacing w:before="0" w:after="120"/>
        <w:jc w:val="both"/>
        <w:rPr>
          <w:sz w:val="20"/>
        </w:rPr>
      </w:pPr>
      <w:r>
        <w:rPr>
          <w:sz w:val="20"/>
        </w:rPr>
        <w:t>Begin discussion with Producer One Services, if applicable, on outsourcing opportunities.</w:t>
      </w:r>
    </w:p>
    <w:p>
      <w:pPr>
        <w:pStyle w:val="Header"/>
        <w:numPr>
          <w:ilvl w:val="0"/>
          <w:numId w:val="9"/>
        </w:numPr>
        <w:tabs>
          <w:tab w:val="clear" w:pos="4320"/>
          <w:tab w:val="clear" w:pos="8640"/>
        </w:tabs>
        <w:spacing w:before="0" w:after="120"/>
        <w:jc w:val="both"/>
        <w:rPr>
          <w:sz w:val="20"/>
        </w:rPr>
      </w:pPr>
      <w:r>
        <w:rPr>
          <w:sz w:val="20"/>
        </w:rPr>
        <w:t>After the Term Sheet is accepted &amp; signed (or Letter of Understanding “LOU”), then the following items should be completed…</w:t>
      </w:r>
    </w:p>
    <w:p>
      <w:pPr>
        <w:pStyle w:val="Header"/>
        <w:numPr>
          <w:ilvl w:val="0"/>
          <w:numId w:val="2"/>
        </w:numPr>
        <w:tabs>
          <w:tab w:val="clear" w:pos="4320"/>
          <w:tab w:val="clear" w:pos="8640"/>
        </w:tabs>
        <w:spacing w:before="0" w:after="120"/>
        <w:jc w:val="both"/>
        <w:rPr>
          <w:sz w:val="20"/>
        </w:rPr>
      </w:pPr>
      <w:r>
        <w:rPr>
          <w:sz w:val="20"/>
        </w:rPr>
        <w:t xml:space="preserve">ECR/Legal to send out draft documents </w:t>
      </w:r>
    </w:p>
    <w:p>
      <w:pPr>
        <w:pStyle w:val="Header"/>
        <w:numPr>
          <w:ilvl w:val="0"/>
          <w:numId w:val="13"/>
        </w:numPr>
        <w:tabs>
          <w:tab w:val="clear" w:pos="4320"/>
          <w:tab w:val="clear" w:pos="8640"/>
        </w:tabs>
        <w:spacing w:before="0" w:after="120"/>
        <w:jc w:val="both"/>
        <w:rPr>
          <w:sz w:val="20"/>
        </w:rPr>
      </w:pPr>
      <w:r>
        <w:rPr>
          <w:sz w:val="20"/>
        </w:rPr>
        <w:t>Purchase and Sale</w:t>
      </w:r>
    </w:p>
    <w:p>
      <w:pPr>
        <w:pStyle w:val="Header"/>
        <w:numPr>
          <w:ilvl w:val="0"/>
          <w:numId w:val="13"/>
        </w:numPr>
        <w:tabs>
          <w:tab w:val="clear" w:pos="4320"/>
          <w:tab w:val="clear" w:pos="8640"/>
        </w:tabs>
        <w:spacing w:before="0" w:after="120"/>
        <w:jc w:val="both"/>
        <w:rPr>
          <w:sz w:val="20"/>
        </w:rPr>
      </w:pPr>
      <w:r>
        <w:rPr>
          <w:sz w:val="20"/>
        </w:rPr>
        <w:t>Conveyance</w:t>
      </w:r>
    </w:p>
    <w:p>
      <w:pPr>
        <w:pStyle w:val="Header"/>
        <w:numPr>
          <w:ilvl w:val="0"/>
          <w:numId w:val="13"/>
        </w:numPr>
        <w:tabs>
          <w:tab w:val="clear" w:pos="4320"/>
          <w:tab w:val="clear" w:pos="8640"/>
        </w:tabs>
        <w:spacing w:before="0" w:after="120"/>
        <w:jc w:val="both"/>
        <w:rPr>
          <w:sz w:val="20"/>
        </w:rPr>
      </w:pPr>
      <w:r>
        <w:rPr>
          <w:sz w:val="20"/>
        </w:rPr>
        <w:t>Production and Delivery</w:t>
      </w:r>
    </w:p>
    <w:p>
      <w:pPr>
        <w:pStyle w:val="Header"/>
        <w:numPr>
          <w:ilvl w:val="0"/>
          <w:numId w:val="13"/>
        </w:numPr>
        <w:tabs>
          <w:tab w:val="clear" w:pos="4320"/>
          <w:tab w:val="clear" w:pos="8640"/>
        </w:tabs>
        <w:spacing w:before="0" w:after="120"/>
        <w:jc w:val="both"/>
        <w:rPr>
          <w:sz w:val="20"/>
        </w:rPr>
      </w:pPr>
      <w:r>
        <w:rPr>
          <w:sz w:val="20"/>
        </w:rPr>
        <w:t>Excess Oil Contract</w:t>
      </w:r>
      <w:r>
        <w:rPr>
          <w:b/>
          <w:bCs/>
          <w:sz w:val="20"/>
        </w:rPr>
        <w:t xml:space="preserve"> [if needed]</w:t>
      </w:r>
      <w:r>
        <w:rPr>
          <w:sz w:val="20"/>
        </w:rPr>
        <w:t>.</w:t>
      </w:r>
    </w:p>
    <w:p>
      <w:pPr>
        <w:pStyle w:val="Header"/>
        <w:numPr>
          <w:ilvl w:val="0"/>
          <w:numId w:val="13"/>
        </w:numPr>
        <w:tabs>
          <w:tab w:val="clear" w:pos="4320"/>
          <w:tab w:val="clear" w:pos="8640"/>
        </w:tabs>
        <w:spacing w:before="0" w:after="120"/>
        <w:jc w:val="both"/>
        <w:rPr>
          <w:sz w:val="20"/>
        </w:rPr>
      </w:pPr>
      <w:r>
        <w:rPr>
          <w:sz w:val="20"/>
        </w:rPr>
        <w:t xml:space="preserve">ISDA Master Agreement (for financial swaps) </w:t>
      </w:r>
      <w:r>
        <w:rPr>
          <w:b/>
          <w:bCs/>
          <w:sz w:val="20"/>
        </w:rPr>
        <w:t>this is only sent out – and not part of the VPP docs, if the producer wants to pre-hedge their volumes.</w:t>
      </w:r>
    </w:p>
    <w:p>
      <w:pPr>
        <w:pStyle w:val="Header"/>
        <w:numPr>
          <w:ilvl w:val="0"/>
          <w:numId w:val="2"/>
        </w:numPr>
        <w:tabs>
          <w:tab w:val="clear" w:pos="4320"/>
          <w:tab w:val="clear" w:pos="8640"/>
        </w:tabs>
        <w:spacing w:before="0" w:after="120"/>
        <w:jc w:val="both"/>
        <w:rPr>
          <w:sz w:val="20"/>
        </w:rPr>
      </w:pPr>
      <w:r>
        <w:rPr>
          <w:sz w:val="20"/>
        </w:rPr>
        <w:t>Wellhead Book / Originators to send out draft Excess Gas Contract.</w:t>
      </w:r>
    </w:p>
    <w:p>
      <w:pPr>
        <w:pStyle w:val="Header"/>
        <w:numPr>
          <w:ilvl w:val="0"/>
          <w:numId w:val="2"/>
        </w:numPr>
        <w:tabs>
          <w:tab w:val="clear" w:pos="4320"/>
          <w:tab w:val="clear" w:pos="8640"/>
        </w:tabs>
        <w:spacing w:before="0" w:after="120"/>
        <w:jc w:val="both"/>
        <w:rPr>
          <w:sz w:val="20"/>
        </w:rPr>
      </w:pPr>
      <w:r>
        <w:rPr>
          <w:sz w:val="20"/>
        </w:rPr>
        <w:t>Begin and complete Title Opinion Review.</w:t>
      </w:r>
    </w:p>
    <w:p>
      <w:pPr>
        <w:pStyle w:val="Header"/>
        <w:numPr>
          <w:ilvl w:val="0"/>
          <w:numId w:val="2"/>
        </w:numPr>
        <w:tabs>
          <w:tab w:val="clear" w:pos="4320"/>
          <w:tab w:val="clear" w:pos="8640"/>
        </w:tabs>
        <w:spacing w:before="0" w:after="120"/>
        <w:jc w:val="both"/>
        <w:rPr>
          <w:sz w:val="20"/>
        </w:rPr>
      </w:pPr>
      <w:r>
        <w:rPr>
          <w:sz w:val="20"/>
        </w:rPr>
        <w:t>Complete Credit review of counterparty, operators and approved purchaser list if applicable (</w:t>
      </w:r>
      <w:r>
        <w:rPr>
          <w:b/>
          <w:bCs/>
          <w:sz w:val="20"/>
        </w:rPr>
        <w:t xml:space="preserve">review of counterparty </w:t>
      </w:r>
      <w:r>
        <w:rPr>
          <w:sz w:val="20"/>
        </w:rPr>
        <w:t>needs to be done prior to any pre-hedge).</w:t>
      </w:r>
    </w:p>
    <w:p>
      <w:pPr>
        <w:pStyle w:val="Header"/>
        <w:numPr>
          <w:ilvl w:val="0"/>
          <w:numId w:val="2"/>
        </w:numPr>
        <w:tabs>
          <w:tab w:val="clear" w:pos="4320"/>
          <w:tab w:val="clear" w:pos="8640"/>
        </w:tabs>
        <w:spacing w:before="0" w:after="120"/>
        <w:jc w:val="both"/>
        <w:rPr>
          <w:sz w:val="20"/>
        </w:rPr>
      </w:pPr>
      <w:r>
        <w:rPr>
          <w:sz w:val="20"/>
        </w:rPr>
        <w:t>Complete Environmental Review.</w:t>
      </w:r>
    </w:p>
    <w:p>
      <w:pPr>
        <w:pStyle w:val="Header"/>
        <w:numPr>
          <w:ilvl w:val="0"/>
          <w:numId w:val="2"/>
        </w:numPr>
        <w:tabs>
          <w:tab w:val="clear" w:pos="4320"/>
          <w:tab w:val="clear" w:pos="8640"/>
        </w:tabs>
        <w:spacing w:before="0" w:after="120"/>
        <w:jc w:val="both"/>
        <w:rPr>
          <w:sz w:val="20"/>
        </w:rPr>
      </w:pPr>
      <w:r>
        <w:rPr>
          <w:sz w:val="20"/>
        </w:rPr>
        <w:t xml:space="preserve">Complete Financial </w:t>
      </w:r>
      <w:r>
        <w:rPr>
          <w:b/>
          <w:bCs/>
          <w:sz w:val="20"/>
        </w:rPr>
        <w:t xml:space="preserve">and Accounting </w:t>
      </w:r>
      <w:r>
        <w:rPr>
          <w:sz w:val="20"/>
        </w:rPr>
        <w:t>Due Diligence (Rick Carson’s Group).</w:t>
      </w:r>
    </w:p>
    <w:p>
      <w:pPr>
        <w:pStyle w:val="Header"/>
        <w:numPr>
          <w:ilvl w:val="0"/>
          <w:numId w:val="2"/>
        </w:numPr>
        <w:tabs>
          <w:tab w:val="clear" w:pos="4320"/>
          <w:tab w:val="clear" w:pos="8640"/>
        </w:tabs>
        <w:spacing w:before="0" w:after="120"/>
        <w:jc w:val="both"/>
        <w:rPr>
          <w:sz w:val="20"/>
        </w:rPr>
      </w:pPr>
      <w:r>
        <w:rPr>
          <w:sz w:val="20"/>
        </w:rPr>
        <w:t xml:space="preserve">Complete Physical Due Diligence to determine if Wellhead Book will take the gas in-kind (physically); determine delivery point and pricing point and finalize any necessary transportation/gathering/processing agreements. Notify Logistics group (George Smith) about the different locations and meter numbers in which Enron will take physical gas. </w:t>
      </w:r>
    </w:p>
    <w:p>
      <w:pPr>
        <w:pStyle w:val="Header"/>
        <w:numPr>
          <w:ilvl w:val="0"/>
          <w:numId w:val="2"/>
        </w:numPr>
        <w:tabs>
          <w:tab w:val="clear" w:pos="4320"/>
          <w:tab w:val="clear" w:pos="8640"/>
        </w:tabs>
        <w:spacing w:before="0" w:after="120"/>
        <w:jc w:val="both"/>
        <w:rPr>
          <w:sz w:val="20"/>
        </w:rPr>
      </w:pPr>
      <w:r>
        <w:rPr>
          <w:b/>
          <w:bCs/>
          <w:sz w:val="20"/>
        </w:rPr>
        <w:t>Also part of physical due diligence, is finding out all the expenses incurred by producer – so that we can make sure our model – LOE’s are correct. … 5 cent dehy fee, 2 cent compression fee….</w:t>
      </w:r>
    </w:p>
    <w:p>
      <w:pPr>
        <w:pStyle w:val="Header"/>
        <w:numPr>
          <w:ilvl w:val="0"/>
          <w:numId w:val="2"/>
        </w:numPr>
        <w:tabs>
          <w:tab w:val="clear" w:pos="4320"/>
          <w:tab w:val="clear" w:pos="8640"/>
        </w:tabs>
        <w:spacing w:before="0" w:after="120"/>
        <w:jc w:val="both"/>
        <w:rPr>
          <w:sz w:val="20"/>
        </w:rPr>
      </w:pPr>
      <w:r>
        <w:rPr>
          <w:sz w:val="20"/>
        </w:rPr>
        <w:t>Funding vehicle structure finalized (interest rate swap needed from EGM).</w:t>
      </w:r>
    </w:p>
    <w:p>
      <w:pPr>
        <w:pStyle w:val="Header"/>
        <w:numPr>
          <w:ilvl w:val="0"/>
          <w:numId w:val="2"/>
        </w:numPr>
        <w:tabs>
          <w:tab w:val="clear" w:pos="4320"/>
          <w:tab w:val="clear" w:pos="8640"/>
        </w:tabs>
        <w:spacing w:before="0" w:after="120"/>
        <w:jc w:val="both"/>
        <w:rPr>
          <w:sz w:val="20"/>
        </w:rPr>
      </w:pPr>
      <w:r>
        <w:rPr>
          <w:sz w:val="20"/>
        </w:rPr>
        <w:t>Complete engineering review.</w:t>
      </w:r>
    </w:p>
    <w:p>
      <w:pPr>
        <w:pStyle w:val="Header"/>
        <w:numPr>
          <w:ilvl w:val="0"/>
          <w:numId w:val="2"/>
        </w:numPr>
        <w:tabs>
          <w:tab w:val="clear" w:pos="4320"/>
          <w:tab w:val="clear" w:pos="8640"/>
        </w:tabs>
        <w:spacing w:before="0" w:after="120"/>
        <w:jc w:val="both"/>
        <w:rPr>
          <w:sz w:val="20"/>
        </w:rPr>
      </w:pPr>
      <w:r>
        <w:rPr>
          <w:sz w:val="20"/>
        </w:rPr>
        <w:t>Refresh quotes from Firm Books for Financial Hedge (NYMEX and Basis).</w:t>
      </w:r>
    </w:p>
    <w:p>
      <w:pPr>
        <w:pStyle w:val="Header"/>
        <w:numPr>
          <w:ilvl w:val="0"/>
          <w:numId w:val="2"/>
        </w:numPr>
        <w:tabs>
          <w:tab w:val="clear" w:pos="4320"/>
          <w:tab w:val="clear" w:pos="8640"/>
        </w:tabs>
        <w:spacing w:before="0" w:after="120"/>
        <w:jc w:val="both"/>
        <w:rPr>
          <w:sz w:val="20"/>
        </w:rPr>
      </w:pPr>
      <w:r>
        <w:rPr>
          <w:sz w:val="20"/>
        </w:rPr>
        <w:t>Refresh physical index bids from Wellhead Book for those fields Enron is buying the gas.</w:t>
      </w:r>
    </w:p>
    <w:p>
      <w:pPr>
        <w:pStyle w:val="Header"/>
        <w:numPr>
          <w:ilvl w:val="0"/>
          <w:numId w:val="2"/>
        </w:numPr>
        <w:tabs>
          <w:tab w:val="clear" w:pos="4320"/>
          <w:tab w:val="clear" w:pos="8640"/>
        </w:tabs>
        <w:spacing w:before="0" w:after="120"/>
        <w:jc w:val="both"/>
        <w:rPr>
          <w:sz w:val="20"/>
        </w:rPr>
      </w:pPr>
      <w:r>
        <w:rPr>
          <w:sz w:val="20"/>
        </w:rPr>
        <w:t>Finalize Producer One Services Agreement, if applicable.</w:t>
      </w:r>
    </w:p>
    <w:p>
      <w:pPr>
        <w:pStyle w:val="Header"/>
        <w:numPr>
          <w:ilvl w:val="0"/>
          <w:numId w:val="2"/>
        </w:numPr>
        <w:tabs>
          <w:tab w:val="clear" w:pos="4320"/>
          <w:tab w:val="clear" w:pos="8640"/>
        </w:tabs>
        <w:spacing w:before="0" w:after="120"/>
        <w:jc w:val="both"/>
        <w:rPr>
          <w:sz w:val="20"/>
        </w:rPr>
      </w:pPr>
      <w:r>
        <w:rPr>
          <w:sz w:val="20"/>
        </w:rPr>
        <w:t>Circulate DASH (Deal Approval Sheet).</w:t>
      </w:r>
    </w:p>
    <w:p>
      <w:pPr>
        <w:pStyle w:val="Header"/>
        <w:numPr>
          <w:ilvl w:val="0"/>
          <w:numId w:val="2"/>
        </w:numPr>
        <w:tabs>
          <w:tab w:val="clear" w:pos="4320"/>
          <w:tab w:val="clear" w:pos="8640"/>
        </w:tabs>
        <w:spacing w:before="0" w:after="120"/>
        <w:jc w:val="both"/>
        <w:rPr>
          <w:sz w:val="20"/>
        </w:rPr>
      </w:pPr>
      <w:r>
        <w:rPr>
          <w:b/>
          <w:bCs/>
          <w:sz w:val="20"/>
        </w:rPr>
        <w:t>I don’t know if you want this…but put together exhibits/schedules.</w:t>
      </w:r>
    </w:p>
    <w:p>
      <w:pPr>
        <w:pStyle w:val="Header"/>
        <w:numPr>
          <w:ilvl w:val="0"/>
          <w:numId w:val="9"/>
        </w:numPr>
        <w:tabs>
          <w:tab w:val="clear" w:pos="4320"/>
          <w:tab w:val="clear" w:pos="8640"/>
        </w:tabs>
        <w:spacing w:before="0" w:after="120"/>
        <w:jc w:val="both"/>
        <w:rPr>
          <w:sz w:val="20"/>
        </w:rPr>
      </w:pPr>
      <w:r>
        <w:rPr>
          <w:sz w:val="20"/>
        </w:rPr>
        <w:t>In order to close the transaction [try to avoid bid week (last week) if possible] the following should be completed…</w:t>
      </w:r>
    </w:p>
    <w:p>
      <w:pPr>
        <w:pStyle w:val="Header"/>
        <w:numPr>
          <w:ilvl w:val="0"/>
          <w:numId w:val="10"/>
        </w:numPr>
        <w:tabs>
          <w:tab w:val="clear" w:pos="4320"/>
          <w:tab w:val="clear" w:pos="8640"/>
        </w:tabs>
        <w:spacing w:before="0" w:after="120"/>
        <w:jc w:val="both"/>
        <w:rPr>
          <w:sz w:val="20"/>
        </w:rPr>
      </w:pPr>
      <w:r>
        <w:rPr>
          <w:sz w:val="20"/>
        </w:rPr>
        <w:t>Finalize DASH with signatures.</w:t>
      </w:r>
    </w:p>
    <w:p>
      <w:pPr>
        <w:pStyle w:val="Header"/>
        <w:numPr>
          <w:ilvl w:val="0"/>
          <w:numId w:val="10"/>
        </w:numPr>
        <w:tabs>
          <w:tab w:val="clear" w:pos="4320"/>
          <w:tab w:val="clear" w:pos="8640"/>
        </w:tabs>
        <w:spacing w:before="0" w:after="120"/>
        <w:jc w:val="both"/>
        <w:rPr>
          <w:sz w:val="20"/>
        </w:rPr>
      </w:pPr>
      <w:r>
        <w:rPr>
          <w:sz w:val="20"/>
        </w:rPr>
        <w:t>Get final (live) quotes on Financial Hedges.</w:t>
      </w:r>
    </w:p>
    <w:p>
      <w:pPr>
        <w:pStyle w:val="Header"/>
        <w:numPr>
          <w:ilvl w:val="0"/>
          <w:numId w:val="10"/>
        </w:numPr>
        <w:tabs>
          <w:tab w:val="clear" w:pos="4320"/>
          <w:tab w:val="clear" w:pos="8640"/>
        </w:tabs>
        <w:spacing w:before="0" w:after="120"/>
        <w:jc w:val="both"/>
        <w:rPr>
          <w:sz w:val="20"/>
        </w:rPr>
      </w:pPr>
      <w:r>
        <w:rPr>
          <w:sz w:val="20"/>
        </w:rPr>
        <w:t>Get final (live) quotes on physical index bids.</w:t>
      </w:r>
    </w:p>
    <w:p>
      <w:pPr>
        <w:pStyle w:val="Header"/>
        <w:numPr>
          <w:ilvl w:val="0"/>
          <w:numId w:val="10"/>
        </w:numPr>
        <w:tabs>
          <w:tab w:val="clear" w:pos="4320"/>
          <w:tab w:val="clear" w:pos="8640"/>
        </w:tabs>
        <w:spacing w:before="0" w:after="120"/>
        <w:jc w:val="both"/>
        <w:rPr>
          <w:sz w:val="20"/>
        </w:rPr>
      </w:pPr>
      <w:r>
        <w:rPr>
          <w:sz w:val="20"/>
        </w:rPr>
        <w:t xml:space="preserve">Execute Documents. </w:t>
      </w:r>
    </w:p>
    <w:p>
      <w:pPr>
        <w:pStyle w:val="Header"/>
        <w:numPr>
          <w:ilvl w:val="0"/>
          <w:numId w:val="9"/>
        </w:numPr>
        <w:tabs>
          <w:tab w:val="clear" w:pos="4320"/>
          <w:tab w:val="clear" w:pos="8640"/>
        </w:tabs>
        <w:spacing w:before="0" w:after="120"/>
        <w:jc w:val="both"/>
        <w:rPr>
          <w:sz w:val="20"/>
        </w:rPr>
      </w:pPr>
      <w:r>
        <w:rPr>
          <w:sz w:val="20"/>
        </w:rPr>
        <w:t>Post Closing</w:t>
      </w:r>
    </w:p>
    <w:p>
      <w:pPr>
        <w:pStyle w:val="Header"/>
        <w:numPr>
          <w:ilvl w:val="0"/>
          <w:numId w:val="10"/>
        </w:numPr>
        <w:tabs>
          <w:tab w:val="clear" w:pos="4320"/>
          <w:tab w:val="clear" w:pos="8640"/>
        </w:tabs>
        <w:spacing w:before="0" w:after="120"/>
        <w:jc w:val="both"/>
        <w:rPr>
          <w:sz w:val="20"/>
        </w:rPr>
      </w:pPr>
      <w:r>
        <w:rPr>
          <w:sz w:val="20"/>
        </w:rPr>
        <w:t>Counterparty set-up into Global Counterparty System. (see separate attachment)</w:t>
      </w:r>
    </w:p>
    <w:p>
      <w:pPr>
        <w:pStyle w:val="Header"/>
        <w:numPr>
          <w:ilvl w:val="0"/>
          <w:numId w:val="11"/>
        </w:numPr>
        <w:tabs>
          <w:tab w:val="clear" w:pos="4320"/>
          <w:tab w:val="clear" w:pos="8640"/>
        </w:tabs>
        <w:spacing w:before="0" w:after="120"/>
        <w:ind w:hanging="360" w:start="1440" w:end="0"/>
        <w:jc w:val="both"/>
        <w:rPr>
          <w:sz w:val="20"/>
        </w:rPr>
      </w:pPr>
      <w:r>
        <w:rPr>
          <w:sz w:val="20"/>
        </w:rPr>
        <w:t>Write Deal Tickets and provide to Risk for entry into the books. Special Handling section has to be checked, in order to avoid confirmations be sent automatically.</w:t>
      </w:r>
      <w:r>
        <w:rPr>
          <w:b/>
          <w:bCs/>
          <w:color w:val="0000FF"/>
          <w:sz w:val="20"/>
        </w:rPr>
        <w:t xml:space="preserve"> [ Yes. Please make sure “DO NOT CONFIRM” is entered in Special Handling in Sitara for these deals (VPP volumes &amp; excess volumes</w:t>
      </w:r>
      <w:r>
        <w:rPr>
          <w:color w:val="0000FF"/>
          <w:sz w:val="20"/>
        </w:rPr>
        <w:t>)]</w:t>
      </w:r>
      <w:r>
        <w:rPr>
          <w:sz w:val="20"/>
        </w:rPr>
        <w:t xml:space="preserve">.  </w:t>
      </w:r>
      <w:r>
        <w:rPr>
          <w:b/>
          <w:bCs/>
          <w:sz w:val="20"/>
        </w:rPr>
        <w:t>Deal tics are not written up for excess gas</w:t>
      </w:r>
    </w:p>
    <w:p>
      <w:pPr>
        <w:pStyle w:val="Header"/>
        <w:numPr>
          <w:ilvl w:val="0"/>
          <w:numId w:val="11"/>
        </w:numPr>
        <w:tabs>
          <w:tab w:val="clear" w:pos="4320"/>
          <w:tab w:val="clear" w:pos="8640"/>
        </w:tabs>
        <w:spacing w:before="0" w:after="120"/>
        <w:ind w:hanging="360" w:start="1440" w:end="0"/>
        <w:jc w:val="both"/>
        <w:rPr>
          <w:sz w:val="20"/>
        </w:rPr>
      </w:pPr>
      <w:r>
        <w:rPr>
          <w:sz w:val="20"/>
        </w:rPr>
        <w:t xml:space="preserve">Ensure tickets entered properly into 1) TAGG for the financial hedges and 2) both TAGG and Sitara for the physical purchases. </w:t>
      </w:r>
      <w:r>
        <w:rPr>
          <w:b/>
          <w:bCs/>
          <w:sz w:val="20"/>
        </w:rPr>
        <w:t>?? scott palmer to provide deal tic numbers??</w:t>
      </w:r>
    </w:p>
    <w:p>
      <w:pPr>
        <w:pStyle w:val="Header"/>
        <w:numPr>
          <w:ilvl w:val="0"/>
          <w:numId w:val="11"/>
        </w:numPr>
        <w:tabs>
          <w:tab w:val="clear" w:pos="4320"/>
          <w:tab w:val="clear" w:pos="8640"/>
        </w:tabs>
        <w:spacing w:before="0" w:after="120"/>
        <w:ind w:hanging="360" w:start="1440" w:end="0"/>
        <w:jc w:val="both"/>
        <w:rPr>
          <w:sz w:val="20"/>
        </w:rPr>
      </w:pPr>
      <w:r>
        <w:rPr>
          <w:sz w:val="20"/>
        </w:rPr>
        <w:t xml:space="preserve">Confirmations written by legal group (VPP &amp; excess volumes).  </w:t>
      </w:r>
      <w:r>
        <w:rPr>
          <w:b/>
          <w:bCs/>
          <w:sz w:val="20"/>
        </w:rPr>
        <w:t>No confirms for excess vols.  Mary cook to write up financial confirms, Teresa Bushman/Nancy Corbet to write up physical confirms.</w:t>
      </w:r>
    </w:p>
    <w:p>
      <w:pPr>
        <w:pStyle w:val="Header"/>
        <w:numPr>
          <w:ilvl w:val="0"/>
          <w:numId w:val="11"/>
        </w:numPr>
        <w:tabs>
          <w:tab w:val="clear" w:pos="4320"/>
          <w:tab w:val="clear" w:pos="8640"/>
        </w:tabs>
        <w:spacing w:before="0" w:after="120"/>
        <w:ind w:hanging="360" w:start="1440" w:end="0"/>
        <w:jc w:val="both"/>
        <w:rPr>
          <w:sz w:val="20"/>
        </w:rPr>
      </w:pPr>
      <w:r>
        <w:rPr>
          <w:sz w:val="20"/>
        </w:rPr>
        <w:t>Monthly - monitor nominations and communicate to Wellhead Book (if Enron buying gas physical) any differences between VPP scheduled volumes and first of the month nominations.</w:t>
      </w:r>
    </w:p>
    <w:p>
      <w:pPr>
        <w:pStyle w:val="Header"/>
        <w:numPr>
          <w:ilvl w:val="0"/>
          <w:numId w:val="11"/>
        </w:numPr>
        <w:tabs>
          <w:tab w:val="clear" w:pos="4320"/>
          <w:tab w:val="clear" w:pos="8640"/>
        </w:tabs>
        <w:spacing w:before="0" w:after="120"/>
        <w:ind w:hanging="360" w:start="1440" w:end="0"/>
        <w:jc w:val="both"/>
        <w:rPr>
          <w:sz w:val="20"/>
        </w:rPr>
      </w:pPr>
      <w:r>
        <w:rPr>
          <w:sz w:val="20"/>
        </w:rPr>
        <w:t>Daily – ensure volume is properly “tiered”, meaning nominations are applied to the firm VPP tickets first, then the excess tickets (note, when the system is modified, this will be automatic).</w:t>
      </w:r>
    </w:p>
    <w:p>
      <w:pPr>
        <w:pStyle w:val="Header"/>
        <w:numPr>
          <w:ilvl w:val="0"/>
          <w:numId w:val="11"/>
        </w:numPr>
        <w:tabs>
          <w:tab w:val="clear" w:pos="4320"/>
          <w:tab w:val="clear" w:pos="8640"/>
        </w:tabs>
        <w:spacing w:before="0" w:after="120"/>
        <w:ind w:hanging="360" w:start="1440" w:end="0"/>
        <w:jc w:val="both"/>
        <w:rPr>
          <w:sz w:val="20"/>
        </w:rPr>
      </w:pPr>
      <w:r>
        <w:rPr>
          <w:sz w:val="20"/>
        </w:rPr>
        <w:t>Monthly - monitor keep-whole provisions of VPP contracts after month end and communicate with counterparty and the Wellhead book in deficiency calculations.</w:t>
      </w:r>
    </w:p>
    <w:p>
      <w:pPr>
        <w:pStyle w:val="Header"/>
        <w:numPr>
          <w:ilvl w:val="0"/>
          <w:numId w:val="11"/>
        </w:numPr>
        <w:tabs>
          <w:tab w:val="clear" w:pos="4320"/>
          <w:tab w:val="clear" w:pos="8640"/>
        </w:tabs>
        <w:spacing w:before="0" w:after="120"/>
        <w:ind w:hanging="360" w:start="1440" w:end="0"/>
        <w:jc w:val="both"/>
        <w:rPr>
          <w:sz w:val="20"/>
        </w:rPr>
      </w:pPr>
      <w:r>
        <w:rPr>
          <w:sz w:val="20"/>
        </w:rPr>
        <w:t>Monthly - ensure funding vehicle is paid timely.</w:t>
      </w:r>
    </w:p>
    <w:p>
      <w:pPr>
        <w:pStyle w:val="Header"/>
        <w:numPr>
          <w:ilvl w:val="0"/>
          <w:numId w:val="11"/>
        </w:numPr>
        <w:tabs>
          <w:tab w:val="clear" w:pos="4320"/>
          <w:tab w:val="clear" w:pos="8640"/>
        </w:tabs>
        <w:spacing w:before="0" w:after="120"/>
        <w:ind w:hanging="360" w:start="1440" w:end="0"/>
        <w:jc w:val="both"/>
        <w:rPr>
          <w:sz w:val="20"/>
        </w:rPr>
      </w:pPr>
      <w:r>
        <w:rPr>
          <w:sz w:val="20"/>
        </w:rPr>
        <w:t>Monthly - communicate with ENE Credit Department regarding ongoing monitoring of “approved purchaser” list if applicable (for wells in which Enron is not buying the physical gas but receiving proceeds only).</w:t>
      </w:r>
    </w:p>
    <w:p>
      <w:pPr>
        <w:pStyle w:val="Header"/>
        <w:numPr>
          <w:ilvl w:val="0"/>
          <w:numId w:val="11"/>
        </w:numPr>
        <w:tabs>
          <w:tab w:val="clear" w:pos="4320"/>
          <w:tab w:val="clear" w:pos="8640"/>
        </w:tabs>
        <w:spacing w:before="0" w:after="120"/>
        <w:ind w:hanging="360" w:start="1440" w:end="0"/>
        <w:jc w:val="both"/>
        <w:rPr>
          <w:b/>
          <w:bCs/>
          <w:sz w:val="20"/>
        </w:rPr>
      </w:pPr>
      <w:r>
        <w:rPr>
          <w:b/>
          <w:bCs/>
          <w:sz w:val="20"/>
        </w:rPr>
        <w:t>Monthly invoicing</w:t>
      </w:r>
      <w:r>
        <w:rPr>
          <w:sz w:val="20"/>
        </w:rPr>
        <w:t xml:space="preserve"> for “proceed wells” </w:t>
      </w:r>
      <w:r>
        <w:rPr>
          <w:b/>
          <w:bCs/>
          <w:sz w:val="20"/>
        </w:rPr>
        <w:t>and</w:t>
      </w:r>
      <w:r>
        <w:rPr>
          <w:sz w:val="20"/>
        </w:rPr>
        <w:t xml:space="preserve"> monthly </w:t>
      </w:r>
      <w:r>
        <w:rPr>
          <w:b/>
          <w:bCs/>
          <w:sz w:val="20"/>
        </w:rPr>
        <w:t>payment from Wellhead Book for “physical wells”.  The bold part I think this should be before g).  re payment for proceeds wells, that goes under – as part of  - g).</w:t>
      </w:r>
    </w:p>
    <w:p>
      <w:pPr>
        <w:pStyle w:val="Header"/>
        <w:tabs>
          <w:tab w:val="clear" w:pos="4320"/>
          <w:tab w:val="clear" w:pos="8640"/>
        </w:tabs>
        <w:spacing w:before="0" w:after="120"/>
        <w:jc w:val="both"/>
        <w:rPr>
          <w:b/>
          <w:bCs/>
          <w:sz w:val="20"/>
        </w:rPr>
      </w:pPr>
      <w:r>
        <w:rPr>
          <w:b/>
          <w:bCs/>
          <w:sz w:val="20"/>
        </w:rPr>
      </w:r>
    </w:p>
    <w:p>
      <w:pPr>
        <w:pStyle w:val="Header"/>
        <w:tabs>
          <w:tab w:val="clear" w:pos="4320"/>
          <w:tab w:val="clear" w:pos="8640"/>
        </w:tabs>
        <w:spacing w:before="0" w:after="120"/>
        <w:jc w:val="both"/>
        <w:rPr>
          <w:b/>
          <w:bCs/>
          <w:sz w:val="20"/>
        </w:rPr>
      </w:pPr>
      <w:r>
        <w:rPr>
          <w:b/>
          <w:bCs/>
          <w:sz w:val="20"/>
        </w:rPr>
      </w:r>
      <w:r>
        <w:br w:type="page"/>
      </w:r>
    </w:p>
    <w:p>
      <w:pPr>
        <w:pStyle w:val="Header"/>
        <w:tabs>
          <w:tab w:val="clear" w:pos="4320"/>
          <w:tab w:val="clear" w:pos="8640"/>
        </w:tabs>
        <w:spacing w:before="0" w:after="120"/>
        <w:jc w:val="both"/>
        <w:rPr>
          <w:sz w:val="20"/>
        </w:rPr>
      </w:pPr>
      <w:r>
        <w:rPr>
          <w:sz w:val="20"/>
        </w:rPr>
      </w:r>
    </w:p>
    <w:p>
      <w:pPr>
        <w:pStyle w:val="Header"/>
        <w:numPr>
          <w:ilvl w:val="0"/>
          <w:numId w:val="15"/>
        </w:numPr>
        <w:tabs>
          <w:tab w:val="clear" w:pos="4320"/>
          <w:tab w:val="clear" w:pos="8640"/>
        </w:tabs>
        <w:spacing w:before="0" w:after="120"/>
        <w:jc w:val="both"/>
        <w:rPr>
          <w:b/>
          <w:bCs/>
          <w:sz w:val="20"/>
        </w:rPr>
      </w:pPr>
      <w:r>
        <w:rPr>
          <w:b/>
          <w:bCs/>
          <w:sz w:val="20"/>
        </w:rPr>
        <w:t>Term Physical Purchases</w:t>
      </w:r>
    </w:p>
    <w:p>
      <w:pPr>
        <w:pStyle w:val="Header"/>
        <w:numPr>
          <w:ilvl w:val="0"/>
          <w:numId w:val="14"/>
        </w:numPr>
        <w:tabs>
          <w:tab w:val="clear" w:pos="4320"/>
          <w:tab w:val="clear" w:pos="8640"/>
        </w:tabs>
        <w:spacing w:before="0" w:after="120"/>
        <w:jc w:val="both"/>
        <w:rPr>
          <w:b/>
          <w:bCs/>
          <w:sz w:val="20"/>
        </w:rPr>
      </w:pPr>
      <w:r>
        <w:rPr>
          <w:sz w:val="20"/>
        </w:rPr>
        <w:t>After an originator either 1) develops a Term Sheet Proposal and/or signs Confidentiality Agreement (“CA”) with a counterparty, 2) or receives an Referendum For Proposal (“RFP”), then the following should be completed…</w:t>
      </w:r>
    </w:p>
    <w:p>
      <w:pPr>
        <w:pStyle w:val="Header"/>
        <w:numPr>
          <w:ilvl w:val="1"/>
          <w:numId w:val="14"/>
        </w:numPr>
        <w:tabs>
          <w:tab w:val="clear" w:pos="4320"/>
          <w:tab w:val="clear" w:pos="8640"/>
        </w:tabs>
        <w:spacing w:before="0" w:after="120"/>
        <w:jc w:val="both"/>
        <w:rPr>
          <w:sz w:val="20"/>
        </w:rPr>
      </w:pPr>
      <w:r>
        <w:rPr>
          <w:sz w:val="20"/>
        </w:rPr>
        <w:t>Initial Due Diligence on Properties (location &amp; volume).</w:t>
      </w:r>
    </w:p>
    <w:p>
      <w:pPr>
        <w:pStyle w:val="Header"/>
        <w:numPr>
          <w:ilvl w:val="1"/>
          <w:numId w:val="14"/>
        </w:numPr>
        <w:tabs>
          <w:tab w:val="clear" w:pos="4320"/>
          <w:tab w:val="clear" w:pos="8640"/>
        </w:tabs>
        <w:spacing w:before="0" w:after="120"/>
        <w:jc w:val="both"/>
        <w:rPr>
          <w:sz w:val="20"/>
        </w:rPr>
      </w:pPr>
      <w:r>
        <w:rPr>
          <w:sz w:val="20"/>
        </w:rPr>
        <w:t>Determine how comfortable Enron is with the reserve base, assess the need for an informal or formal engineering review (How much is Enron willing to buy on a IF-FOM basis versus Gas Daily basis).</w:t>
      </w:r>
    </w:p>
    <w:p>
      <w:pPr>
        <w:pStyle w:val="Header"/>
        <w:numPr>
          <w:ilvl w:val="1"/>
          <w:numId w:val="14"/>
        </w:numPr>
        <w:tabs>
          <w:tab w:val="clear" w:pos="4320"/>
          <w:tab w:val="clear" w:pos="8640"/>
        </w:tabs>
        <w:spacing w:before="0" w:after="120"/>
        <w:jc w:val="both"/>
        <w:rPr>
          <w:sz w:val="20"/>
        </w:rPr>
      </w:pPr>
      <w:r>
        <w:rPr>
          <w:sz w:val="20"/>
        </w:rPr>
        <w:t>Preliminary Credit Review of counterparty and possible field operators.</w:t>
      </w:r>
    </w:p>
    <w:p>
      <w:pPr>
        <w:pStyle w:val="Header"/>
        <w:numPr>
          <w:ilvl w:val="1"/>
          <w:numId w:val="14"/>
        </w:numPr>
        <w:tabs>
          <w:tab w:val="clear" w:pos="4320"/>
          <w:tab w:val="clear" w:pos="8640"/>
        </w:tabs>
        <w:spacing w:before="0" w:after="120"/>
        <w:jc w:val="both"/>
        <w:rPr>
          <w:sz w:val="20"/>
        </w:rPr>
      </w:pPr>
      <w:r>
        <w:rPr>
          <w:sz w:val="20"/>
        </w:rPr>
        <w:t>Preliminary Index and Gas Daily Bids from Wellhead book .</w:t>
      </w:r>
    </w:p>
    <w:p>
      <w:pPr>
        <w:pStyle w:val="Header"/>
        <w:numPr>
          <w:ilvl w:val="1"/>
          <w:numId w:val="14"/>
        </w:numPr>
        <w:tabs>
          <w:tab w:val="clear" w:pos="4320"/>
          <w:tab w:val="clear" w:pos="8640"/>
        </w:tabs>
        <w:spacing w:before="0" w:after="120"/>
        <w:jc w:val="both"/>
        <w:rPr>
          <w:sz w:val="20"/>
        </w:rPr>
      </w:pPr>
      <w:r>
        <w:rPr>
          <w:sz w:val="20"/>
        </w:rPr>
        <w:t>Identify need to get transport / gathering agreements.</w:t>
      </w:r>
    </w:p>
    <w:p>
      <w:pPr>
        <w:pStyle w:val="Header"/>
        <w:numPr>
          <w:ilvl w:val="1"/>
          <w:numId w:val="14"/>
        </w:numPr>
        <w:tabs>
          <w:tab w:val="clear" w:pos="4320"/>
          <w:tab w:val="clear" w:pos="8640"/>
        </w:tabs>
        <w:spacing w:before="0" w:after="120"/>
        <w:jc w:val="both"/>
        <w:rPr>
          <w:sz w:val="20"/>
        </w:rPr>
      </w:pPr>
      <w:r>
        <w:rPr>
          <w:sz w:val="20"/>
        </w:rPr>
        <w:t>Begin discussion with Producer One Services, if applicable, on outsourcing opportunities.</w:t>
      </w:r>
    </w:p>
    <w:p>
      <w:pPr>
        <w:pStyle w:val="Header"/>
        <w:numPr>
          <w:ilvl w:val="0"/>
          <w:numId w:val="14"/>
        </w:numPr>
        <w:tabs>
          <w:tab w:val="clear" w:pos="4320"/>
          <w:tab w:val="clear" w:pos="8640"/>
        </w:tabs>
        <w:spacing w:before="0" w:after="120"/>
        <w:jc w:val="both"/>
        <w:rPr>
          <w:sz w:val="20"/>
        </w:rPr>
      </w:pPr>
      <w:r>
        <w:rPr>
          <w:sz w:val="20"/>
        </w:rPr>
        <w:t>After the Term Sheet is accepted &amp; signed (or Letter of Understanding “LOU”), or if Enron’s RFP response is accepted, then the following should be completed…</w:t>
      </w:r>
    </w:p>
    <w:p>
      <w:pPr>
        <w:pStyle w:val="Header"/>
        <w:numPr>
          <w:ilvl w:val="0"/>
          <w:numId w:val="5"/>
        </w:numPr>
        <w:tabs>
          <w:tab w:val="clear" w:pos="4320"/>
          <w:tab w:val="clear" w:pos="8640"/>
        </w:tabs>
        <w:spacing w:before="0" w:after="120"/>
        <w:jc w:val="both"/>
        <w:rPr>
          <w:sz w:val="20"/>
        </w:rPr>
      </w:pPr>
      <w:r>
        <w:rPr>
          <w:sz w:val="20"/>
        </w:rPr>
        <w:t>Send out draft Enfolio Wellhead Agreement and Excess Gas Contract. Complete Credit review of counterparty &amp; operators.</w:t>
      </w:r>
    </w:p>
    <w:p>
      <w:pPr>
        <w:pStyle w:val="Header"/>
        <w:numPr>
          <w:ilvl w:val="0"/>
          <w:numId w:val="5"/>
        </w:numPr>
        <w:tabs>
          <w:tab w:val="clear" w:pos="4320"/>
          <w:tab w:val="clear" w:pos="8640"/>
        </w:tabs>
        <w:spacing w:before="0" w:after="120"/>
        <w:jc w:val="both"/>
        <w:rPr>
          <w:sz w:val="20"/>
        </w:rPr>
      </w:pPr>
      <w:r>
        <w:rPr>
          <w:sz w:val="20"/>
        </w:rPr>
        <w:t xml:space="preserve">Complete Physical Due Diligence; determine delivery point and pricing point and finalize any necessary transportation/gathering/processing agreements. Notify Logistics group (George Smith) about the different locations and meter numbers in which Enron will take physical gas. </w:t>
      </w:r>
    </w:p>
    <w:p>
      <w:pPr>
        <w:pStyle w:val="Header"/>
        <w:numPr>
          <w:ilvl w:val="0"/>
          <w:numId w:val="5"/>
        </w:numPr>
        <w:tabs>
          <w:tab w:val="clear" w:pos="4320"/>
          <w:tab w:val="clear" w:pos="8640"/>
        </w:tabs>
        <w:spacing w:before="0" w:after="120"/>
        <w:jc w:val="both"/>
        <w:rPr>
          <w:sz w:val="20"/>
        </w:rPr>
      </w:pPr>
      <w:r>
        <w:rPr>
          <w:sz w:val="20"/>
        </w:rPr>
        <w:t>Complete engineering review, if applicable.</w:t>
      </w:r>
    </w:p>
    <w:p>
      <w:pPr>
        <w:pStyle w:val="Header"/>
        <w:numPr>
          <w:ilvl w:val="0"/>
          <w:numId w:val="5"/>
        </w:numPr>
        <w:tabs>
          <w:tab w:val="clear" w:pos="4320"/>
          <w:tab w:val="clear" w:pos="8640"/>
        </w:tabs>
        <w:spacing w:before="0" w:after="120"/>
        <w:jc w:val="both"/>
        <w:rPr>
          <w:sz w:val="20"/>
        </w:rPr>
      </w:pPr>
      <w:r>
        <w:rPr>
          <w:sz w:val="20"/>
        </w:rPr>
        <w:t>Refresh physical index bids from Wellhead Book.</w:t>
      </w:r>
    </w:p>
    <w:p>
      <w:pPr>
        <w:pStyle w:val="Header"/>
        <w:numPr>
          <w:ilvl w:val="0"/>
          <w:numId w:val="5"/>
        </w:numPr>
        <w:tabs>
          <w:tab w:val="clear" w:pos="4320"/>
          <w:tab w:val="clear" w:pos="8640"/>
        </w:tabs>
        <w:spacing w:before="0" w:after="120"/>
        <w:rPr>
          <w:b/>
          <w:bCs/>
          <w:color w:val="0000FF"/>
          <w:sz w:val="20"/>
        </w:rPr>
      </w:pPr>
      <w:r>
        <w:rPr>
          <w:sz w:val="20"/>
        </w:rPr>
        <w:t xml:space="preserve">Identify “Deal Specific” language to be used in the confirmations.  </w:t>
      </w:r>
      <w:r>
        <w:rPr>
          <w:b/>
          <w:bCs/>
          <w:color w:val="0000FF"/>
          <w:sz w:val="20"/>
        </w:rPr>
        <w:t xml:space="preserve">“Deal Specific language” means:  </w:t>
        <w:br/>
        <w:t>- Field Name / County / State</w:t>
        <w:br/>
        <w:t>- Well Name</w:t>
        <w:br/>
        <w:t>- Meter No. /  Pipeline</w:t>
        <w:br/>
        <w:t>- Working Interest</w:t>
      </w:r>
    </w:p>
    <w:p>
      <w:pPr>
        <w:pStyle w:val="Header"/>
        <w:numPr>
          <w:ilvl w:val="0"/>
          <w:numId w:val="5"/>
        </w:numPr>
        <w:tabs>
          <w:tab w:val="clear" w:pos="4320"/>
          <w:tab w:val="clear" w:pos="8640"/>
        </w:tabs>
        <w:spacing w:before="0" w:after="120"/>
        <w:jc w:val="both"/>
        <w:rPr>
          <w:sz w:val="20"/>
        </w:rPr>
      </w:pPr>
      <w:r>
        <w:rPr>
          <w:sz w:val="20"/>
        </w:rPr>
        <w:t>Finalize Producer One Services Agreement, if applicable.</w:t>
      </w:r>
    </w:p>
    <w:p>
      <w:pPr>
        <w:pStyle w:val="Header"/>
        <w:numPr>
          <w:ilvl w:val="0"/>
          <w:numId w:val="5"/>
        </w:numPr>
        <w:tabs>
          <w:tab w:val="clear" w:pos="4320"/>
          <w:tab w:val="clear" w:pos="8640"/>
        </w:tabs>
        <w:spacing w:before="0" w:after="120"/>
        <w:jc w:val="both"/>
        <w:rPr>
          <w:sz w:val="20"/>
        </w:rPr>
      </w:pPr>
      <w:r>
        <w:rPr>
          <w:sz w:val="20"/>
        </w:rPr>
        <w:t>Circulate DASH (Deal Approval Sheet), if applicable.</w:t>
      </w:r>
    </w:p>
    <w:p>
      <w:pPr>
        <w:pStyle w:val="Header"/>
        <w:numPr>
          <w:ilvl w:val="0"/>
          <w:numId w:val="9"/>
        </w:numPr>
        <w:tabs>
          <w:tab w:val="clear" w:pos="4320"/>
          <w:tab w:val="clear" w:pos="8640"/>
        </w:tabs>
        <w:spacing w:before="0" w:after="120"/>
        <w:jc w:val="both"/>
        <w:rPr>
          <w:sz w:val="20"/>
        </w:rPr>
      </w:pPr>
      <w:r>
        <w:rPr>
          <w:sz w:val="20"/>
        </w:rPr>
        <w:t>In order to Close the Transaction [try to avoid bid week (last week) if possible] the following should be completed…</w:t>
      </w:r>
    </w:p>
    <w:p>
      <w:pPr>
        <w:pStyle w:val="Header"/>
        <w:numPr>
          <w:ilvl w:val="0"/>
          <w:numId w:val="4"/>
        </w:numPr>
        <w:tabs>
          <w:tab w:val="clear" w:pos="4320"/>
          <w:tab w:val="clear" w:pos="8640"/>
        </w:tabs>
        <w:spacing w:before="0" w:after="120"/>
        <w:rPr>
          <w:sz w:val="20"/>
        </w:rPr>
      </w:pPr>
      <w:r>
        <w:rPr>
          <w:sz w:val="20"/>
        </w:rPr>
        <w:t xml:space="preserve">Clarify/finalize with Risk and </w:t>
      </w:r>
      <w:r>
        <w:rPr>
          <w:b/>
          <w:bCs/>
          <w:color w:val="0000FF"/>
          <w:sz w:val="20"/>
        </w:rPr>
        <w:t>Confirmations</w:t>
      </w:r>
      <w:r>
        <w:rPr>
          <w:sz w:val="20"/>
        </w:rPr>
        <w:t xml:space="preserve"> </w:t>
      </w:r>
      <w:r>
        <w:rPr>
          <w:b/>
          <w:bCs/>
          <w:color w:val="0000FF"/>
          <w:sz w:val="20"/>
        </w:rPr>
        <w:t>[ ? ]</w:t>
      </w:r>
      <w:r>
        <w:rPr>
          <w:sz w:val="20"/>
        </w:rPr>
        <w:t>on timing and presentation of invoicing.</w:t>
      </w:r>
    </w:p>
    <w:p>
      <w:pPr>
        <w:pStyle w:val="Header"/>
        <w:numPr>
          <w:ilvl w:val="0"/>
          <w:numId w:val="4"/>
        </w:numPr>
        <w:tabs>
          <w:tab w:val="clear" w:pos="4320"/>
          <w:tab w:val="clear" w:pos="8640"/>
        </w:tabs>
        <w:spacing w:before="0" w:after="120"/>
        <w:jc w:val="both"/>
        <w:rPr>
          <w:sz w:val="20"/>
        </w:rPr>
      </w:pPr>
      <w:r>
        <w:rPr>
          <w:sz w:val="20"/>
        </w:rPr>
        <w:t>Finalize DASH with signatures, if applicable.</w:t>
      </w:r>
    </w:p>
    <w:p>
      <w:pPr>
        <w:pStyle w:val="Header"/>
        <w:numPr>
          <w:ilvl w:val="0"/>
          <w:numId w:val="4"/>
        </w:numPr>
        <w:tabs>
          <w:tab w:val="clear" w:pos="4320"/>
          <w:tab w:val="clear" w:pos="8640"/>
        </w:tabs>
        <w:spacing w:before="0" w:after="120"/>
        <w:jc w:val="both"/>
        <w:rPr>
          <w:sz w:val="20"/>
        </w:rPr>
      </w:pPr>
      <w:r>
        <w:rPr>
          <w:sz w:val="20"/>
        </w:rPr>
        <w:t>Get final (live) quotes on physical index bids.</w:t>
      </w:r>
    </w:p>
    <w:p>
      <w:pPr>
        <w:pStyle w:val="Header"/>
        <w:numPr>
          <w:ilvl w:val="0"/>
          <w:numId w:val="4"/>
        </w:numPr>
        <w:tabs>
          <w:tab w:val="clear" w:pos="4320"/>
          <w:tab w:val="clear" w:pos="8640"/>
        </w:tabs>
        <w:spacing w:before="0" w:after="120"/>
        <w:jc w:val="both"/>
        <w:rPr>
          <w:sz w:val="20"/>
        </w:rPr>
      </w:pPr>
      <w:r>
        <w:rPr>
          <w:sz w:val="20"/>
        </w:rPr>
        <w:t xml:space="preserve">Execute Document(s). </w:t>
      </w:r>
      <w:r>
        <w:rPr>
          <w:b/>
          <w:bCs/>
          <w:color w:val="0000FF"/>
          <w:sz w:val="20"/>
        </w:rPr>
        <w:t>Please make sure an Executed copy is forwarded to Stacey Richardson in Global Contracts [so that her group can set up the Contract in the Global Contracts Database, and therefore attach the correct Contract to each deal that is entered in Sitara.]</w:t>
      </w:r>
    </w:p>
    <w:p>
      <w:pPr>
        <w:pStyle w:val="Header"/>
        <w:numPr>
          <w:ilvl w:val="0"/>
          <w:numId w:val="4"/>
        </w:numPr>
        <w:tabs>
          <w:tab w:val="clear" w:pos="4320"/>
          <w:tab w:val="clear" w:pos="8640"/>
        </w:tabs>
        <w:spacing w:before="0" w:after="120"/>
        <w:jc w:val="both"/>
        <w:rPr>
          <w:sz w:val="20"/>
        </w:rPr>
      </w:pPr>
      <w:r>
        <w:rPr>
          <w:sz w:val="20"/>
        </w:rPr>
        <w:t>Set up counterparty in Global Database (need exact legal entity) – See separate document with exact procedures.</w:t>
      </w:r>
    </w:p>
    <w:p>
      <w:pPr>
        <w:pStyle w:val="Header"/>
        <w:numPr>
          <w:ilvl w:val="0"/>
          <w:numId w:val="9"/>
        </w:numPr>
        <w:tabs>
          <w:tab w:val="clear" w:pos="4320"/>
          <w:tab w:val="clear" w:pos="8640"/>
        </w:tabs>
        <w:spacing w:before="0" w:after="120"/>
        <w:jc w:val="both"/>
        <w:rPr>
          <w:sz w:val="20"/>
        </w:rPr>
      </w:pPr>
      <w:r>
        <w:rPr>
          <w:sz w:val="20"/>
        </w:rPr>
        <w:t>Post Closing</w:t>
      </w:r>
    </w:p>
    <w:p>
      <w:pPr>
        <w:pStyle w:val="Header"/>
        <w:numPr>
          <w:ilvl w:val="0"/>
          <w:numId w:val="5"/>
        </w:numPr>
        <w:tabs>
          <w:tab w:val="clear" w:pos="4320"/>
          <w:tab w:val="clear" w:pos="8640"/>
        </w:tabs>
        <w:spacing w:before="0" w:after="120"/>
        <w:rPr>
          <w:b/>
          <w:bCs/>
          <w:color w:val="0000FF"/>
          <w:sz w:val="20"/>
        </w:rPr>
      </w:pPr>
      <w:r>
        <w:rPr>
          <w:sz w:val="20"/>
        </w:rPr>
        <w:t>Write Deal Tickets and provide to Risk for entry into the books. [</w:t>
      </w:r>
      <w:r>
        <w:rPr>
          <w:b/>
          <w:bCs/>
          <w:color w:val="FF0000"/>
          <w:sz w:val="20"/>
        </w:rPr>
        <w:t>Do we want to check the Special Handling section in order to avoid confirmations be sent automatically?</w:t>
      </w:r>
      <w:r>
        <w:rPr>
          <w:sz w:val="20"/>
        </w:rPr>
        <w:t xml:space="preserve">] </w:t>
      </w:r>
      <w:r>
        <w:rPr>
          <w:b/>
          <w:bCs/>
          <w:color w:val="0000FF"/>
          <w:sz w:val="20"/>
        </w:rPr>
        <w:t xml:space="preserve">Yes, if it is a </w:t>
      </w:r>
      <w:r>
        <w:rPr>
          <w:b/>
          <w:bCs/>
          <w:color w:val="0000FF"/>
          <w:sz w:val="20"/>
          <w:u w:val="single"/>
        </w:rPr>
        <w:t>Wellhead / Dedicated Reserves Purchase.</w:t>
      </w:r>
      <w:r>
        <w:rPr>
          <w:b/>
          <w:bCs/>
          <w:color w:val="0000FF"/>
          <w:sz w:val="20"/>
        </w:rPr>
        <w:t xml:space="preserve">  And it is also essential to add the Deal Specifics to “Special Handling “ in Sitara :</w:t>
        <w:br/>
      </w:r>
      <w:r>
        <w:rPr>
          <w:sz w:val="20"/>
        </w:rPr>
        <w:br/>
      </w:r>
      <w:r>
        <w:rPr>
          <w:b/>
          <w:bCs/>
          <w:color w:val="0000FF"/>
          <w:sz w:val="20"/>
        </w:rPr>
        <w:t>- Field Name / County / State</w:t>
        <w:br/>
        <w:t>- Well Name</w:t>
        <w:br/>
        <w:t>- Meter No. /  Pipeline</w:t>
        <w:br/>
        <w:t>- Working Interest</w:t>
        <w:br/>
        <w:br/>
        <w:t xml:space="preserve">A Confirmation WILL NOT be sent out to the Counterparty, unless we have complete information on the Deal Specifics.  </w:t>
      </w:r>
    </w:p>
    <w:p>
      <w:pPr>
        <w:pStyle w:val="Header"/>
        <w:numPr>
          <w:ilvl w:val="0"/>
          <w:numId w:val="7"/>
        </w:numPr>
        <w:tabs>
          <w:tab w:val="clear" w:pos="4320"/>
          <w:tab w:val="clear" w:pos="8640"/>
        </w:tabs>
        <w:spacing w:before="0" w:after="120"/>
        <w:rPr>
          <w:sz w:val="20"/>
        </w:rPr>
      </w:pPr>
      <w:r>
        <w:rPr>
          <w:b/>
          <w:bCs/>
          <w:color w:val="0000FF"/>
          <w:sz w:val="20"/>
        </w:rPr>
      </w:r>
    </w:p>
    <w:p>
      <w:pPr>
        <w:pStyle w:val="Header"/>
        <w:numPr>
          <w:ilvl w:val="0"/>
          <w:numId w:val="7"/>
        </w:numPr>
        <w:tabs>
          <w:tab w:val="clear" w:pos="4320"/>
          <w:tab w:val="clear" w:pos="8640"/>
        </w:tabs>
        <w:spacing w:before="0" w:after="120"/>
        <w:jc w:val="both"/>
        <w:rPr>
          <w:sz w:val="20"/>
        </w:rPr>
      </w:pPr>
      <w:r>
        <w:rPr>
          <w:sz w:val="20"/>
        </w:rPr>
        <w:t>Ensure tickets entered properly into TAGG and Sitara.</w:t>
      </w:r>
    </w:p>
    <w:p>
      <w:pPr>
        <w:pStyle w:val="Header"/>
        <w:numPr>
          <w:ilvl w:val="0"/>
          <w:numId w:val="7"/>
        </w:numPr>
        <w:tabs>
          <w:tab w:val="clear" w:pos="4320"/>
          <w:tab w:val="clear" w:pos="8640"/>
        </w:tabs>
        <w:spacing w:before="0" w:after="120"/>
        <w:jc w:val="both"/>
        <w:rPr>
          <w:sz w:val="20"/>
        </w:rPr>
      </w:pPr>
      <w:r>
        <w:rPr>
          <w:sz w:val="20"/>
        </w:rPr>
        <w:t>[</w:t>
      </w:r>
      <w:r>
        <w:rPr>
          <w:b/>
          <w:bCs/>
          <w:color w:val="FF0000"/>
          <w:sz w:val="20"/>
        </w:rPr>
        <w:t>Confirmations written by legal/origination group if we check special handling, see above question.</w:t>
      </w:r>
      <w:r>
        <w:rPr>
          <w:sz w:val="20"/>
        </w:rPr>
        <w:t xml:space="preserve">] </w:t>
      </w:r>
      <w:r>
        <w:rPr>
          <w:b/>
          <w:bCs/>
          <w:color w:val="0000FF"/>
          <w:sz w:val="20"/>
        </w:rPr>
        <w:t>Confirmations to be generated, chased and executed by Physical Gas Confirmation’s (Ellen Wallumrod) Group.</w:t>
      </w:r>
    </w:p>
    <w:p>
      <w:pPr>
        <w:pStyle w:val="Header"/>
        <w:numPr>
          <w:ilvl w:val="0"/>
          <w:numId w:val="7"/>
        </w:numPr>
        <w:tabs>
          <w:tab w:val="clear" w:pos="4320"/>
          <w:tab w:val="clear" w:pos="8640"/>
        </w:tabs>
        <w:spacing w:before="0" w:after="120"/>
        <w:jc w:val="both"/>
        <w:rPr>
          <w:sz w:val="20"/>
        </w:rPr>
      </w:pPr>
      <w:r>
        <w:rPr>
          <w:sz w:val="20"/>
        </w:rPr>
        <w:t>Monthly - monitor nominations and communicates to Wellhead Book (if Enron buying gas physical) any differences between volumes priced First of the Month vs. volume priced Gas Daily.</w:t>
      </w:r>
    </w:p>
    <w:p>
      <w:pPr>
        <w:pStyle w:val="Header"/>
        <w:numPr>
          <w:ilvl w:val="0"/>
          <w:numId w:val="7"/>
        </w:numPr>
        <w:tabs>
          <w:tab w:val="clear" w:pos="4320"/>
          <w:tab w:val="clear" w:pos="8640"/>
        </w:tabs>
        <w:spacing w:before="0" w:after="120"/>
        <w:jc w:val="both"/>
        <w:rPr>
          <w:sz w:val="20"/>
        </w:rPr>
      </w:pPr>
      <w:r>
        <w:rPr>
          <w:sz w:val="20"/>
        </w:rPr>
        <w:t>Daily – ensure volume is properly “tiered”, meaning nominations are applied to the firm (FOM) tickets first, then the excess tickets (GD) (note, when the system is modified, this will be automatic).</w:t>
      </w:r>
    </w:p>
    <w:p>
      <w:pPr>
        <w:pStyle w:val="Header"/>
        <w:numPr>
          <w:ilvl w:val="0"/>
          <w:numId w:val="7"/>
        </w:numPr>
        <w:tabs>
          <w:tab w:val="clear" w:pos="4320"/>
          <w:tab w:val="clear" w:pos="8640"/>
        </w:tabs>
        <w:spacing w:before="0" w:after="120"/>
        <w:jc w:val="both"/>
        <w:rPr>
          <w:sz w:val="20"/>
        </w:rPr>
      </w:pPr>
      <w:r>
        <w:rPr>
          <w:sz w:val="20"/>
        </w:rPr>
        <w:t>Monthly Payment.</w:t>
      </w:r>
    </w:p>
    <w:p>
      <w:pPr>
        <w:pStyle w:val="Header"/>
        <w:tabs>
          <w:tab w:val="clear" w:pos="4320"/>
          <w:tab w:val="clear" w:pos="8640"/>
        </w:tabs>
        <w:spacing w:before="0" w:after="120"/>
        <w:jc w:val="both"/>
        <w:rPr>
          <w:sz w:val="20"/>
        </w:rPr>
      </w:pPr>
      <w:r>
        <w:rPr>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bCs/>
        <w:sz w:val="16"/>
      </w:rPr>
      <w:fldChar w:fldCharType="begin"/>
    </w:r>
    <w:r>
      <w:rPr>
        <w:sz w:val="16"/>
        <w:b/>
        <w:bCs/>
      </w:rPr>
      <w:instrText xml:space="preserve"> FILENAME \p </w:instrText>
    </w:r>
    <w:r>
      <w:rPr>
        <w:sz w:val="16"/>
        <w:b/>
        <w:bCs/>
      </w:rPr>
      <w:fldChar w:fldCharType="separate"/>
    </w:r>
    <w:r>
      <w:rPr>
        <w:sz w:val="16"/>
        <w:b/>
        <w:bCs/>
      </w:rPr>
      <w:t>/mnt/main-storage/datasets/enron-docs/doc/eric_check_list1.doc</w:t>
    </w:r>
    <w:r>
      <w:rPr>
        <w:sz w:val="16"/>
        <w:b/>
        <w:bCs/>
      </w:rPr>
      <w:fldChar w:fldCharType="end"/>
    </w:r>
    <w:r>
      <w:rPr>
        <w:b/>
        <w:bCs/>
        <w:sz w:val="16"/>
      </w:rPr>
      <w:t xml:space="preserve">                                        </w:t>
    </w:r>
    <w:r>
      <w:rPr>
        <w:b/>
        <w:bCs/>
        <w:sz w:val="16"/>
      </w:rPr>
      <w:fldChar w:fldCharType="begin"/>
    </w:r>
    <w:r>
      <w:rPr>
        <w:sz w:val="16"/>
        <w:b/>
        <w:bCs/>
      </w:rPr>
      <w:instrText xml:space="preserve"> DATE \@"M\/d\/yyyy" </w:instrText>
    </w:r>
    <w:r>
      <w:rPr>
        <w:sz w:val="16"/>
        <w:b/>
        <w:bCs/>
      </w:rPr>
      <w:fldChar w:fldCharType="separate"/>
    </w:r>
    <w:r>
      <w:rPr>
        <w:sz w:val="16"/>
        <w:b/>
        <w:bCs/>
      </w:rPr>
      <w:t>9/28/2025</w:t>
    </w:r>
    <w:r>
      <w:rPr>
        <w:sz w:val="16"/>
        <w:b/>
        <w:bCs/>
      </w:rPr>
      <w:fldChar w:fldCharType="end"/>
    </w:r>
    <w:r>
      <w:rPr>
        <w:b/>
        <w:bCs/>
        <w:sz w:val="16"/>
      </w:rPr>
      <w:t xml:space="preserve">   </w:t>
    </w:r>
    <w:r>
      <w:rPr>
        <w:b/>
        <w:bCs/>
        <w:sz w:val="16"/>
      </w:rPr>
      <w:fldChar w:fldCharType="begin"/>
    </w:r>
    <w:r>
      <w:rPr>
        <w:sz w:val="16"/>
        <w:b/>
        <w:bCs/>
      </w:rPr>
      <w:instrText xml:space="preserve"> TIME \@"H:mm\ AM/PM" </w:instrText>
    </w:r>
    <w:r>
      <w:rPr>
        <w:sz w:val="16"/>
        <w:b/>
        <w:bCs/>
      </w:rPr>
      <w:fldChar w:fldCharType="separate"/>
    </w:r>
    <w:r>
      <w:rPr>
        <w:sz w:val="16"/>
        <w:b/>
        <w:bCs/>
      </w:rPr>
      <w:t>9:30 AM</w:t>
    </w:r>
    <w:r>
      <w:rPr>
        <w:sz w:val="16"/>
        <w:b/>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40"/>
      </w:rPr>
    </w:pPr>
    <w:r>
      <w:rPr>
        <w:b/>
        <w:bCs/>
        <w:sz w:val="40"/>
      </w:rPr>
      <w:t>Process Check List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lowerLetter"/>
      <w:lvlText w:val="%1)"/>
      <w:lvlJc w:val="start"/>
      <w:pPr>
        <w:tabs>
          <w:tab w:val="num" w:pos="1440"/>
        </w:tabs>
        <w:ind w:start="1440" w:hanging="360"/>
      </w:pPr>
    </w:lvl>
  </w:abstractNum>
  <w:abstractNum w:abstractNumId="3">
    <w:lvl w:ilvl="0">
      <w:start w:val="1"/>
      <w:numFmt w:val="upperRoman"/>
      <w:lvlText w:val="%1."/>
      <w:lvlJc w:val="end"/>
      <w:pPr>
        <w:tabs>
          <w:tab w:val="num" w:pos="540"/>
        </w:tabs>
        <w:ind w:start="540" w:hanging="180"/>
      </w:pPr>
    </w:lvl>
  </w:abstractNum>
  <w:abstractNum w:abstractNumId="4">
    <w:lvl w:ilvl="0">
      <w:start w:val="1"/>
      <w:numFmt w:val="lowerLetter"/>
      <w:lvlText w:val="%1)"/>
      <w:lvlJc w:val="start"/>
      <w:pPr>
        <w:tabs>
          <w:tab w:val="num" w:pos="1440"/>
        </w:tabs>
        <w:ind w:start="1440" w:hanging="360"/>
      </w:pPr>
      <w:rPr/>
    </w:lvl>
  </w:abstractNum>
  <w:abstractNum w:abstractNumId="5">
    <w:lvl w:ilvl="0">
      <w:start w:val="1"/>
      <w:numFmt w:val="lowerLetter"/>
      <w:lvlText w:val="%1)"/>
      <w:lvlJc w:val="start"/>
      <w:pPr>
        <w:tabs>
          <w:tab w:val="num" w:pos="1440"/>
        </w:tabs>
        <w:ind w:start="1440" w:hanging="360"/>
      </w:pPr>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lowerLetter"/>
      <w:lvlText w:val="%1)"/>
      <w:lvlJc w:val="start"/>
      <w:pPr>
        <w:tabs>
          <w:tab w:val="num" w:pos="1440"/>
        </w:tabs>
        <w:ind w:start="1440" w:hanging="360"/>
      </w:pPr>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lowerLetter"/>
      <w:lvlText w:val="%1)"/>
      <w:lvlJc w:val="start"/>
      <w:pPr>
        <w:tabs>
          <w:tab w:val="num" w:pos="1440"/>
        </w:tabs>
        <w:ind w:start="1440" w:hanging="360"/>
      </w:pPr>
    </w:lvl>
  </w:abstractNum>
  <w:abstractNum w:abstractNumId="11">
    <w:lvl w:ilvl="0">
      <w:start w:val="1"/>
      <w:numFmt w:val="lowerLetter"/>
      <w:lvlText w:val="%1)"/>
      <w:lvlJc w:val="start"/>
      <w:pPr>
        <w:tabs>
          <w:tab w:val="num" w:pos="1800"/>
        </w:tabs>
        <w:ind w:start="1800" w:hanging="360"/>
      </w:pPr>
    </w:lvl>
  </w:abstractNum>
  <w:abstractNum w:abstractNumId="12">
    <w:lvl w:ilvl="0">
      <w:start w:val="1"/>
      <w:numFmt w:val="lowerLetter"/>
      <w:lvlText w:val="%1)"/>
      <w:lvlJc w:val="start"/>
      <w:pPr>
        <w:tabs>
          <w:tab w:val="num" w:pos="1440"/>
        </w:tabs>
        <w:ind w:start="1440" w:hanging="360"/>
      </w:pPr>
    </w:lvl>
  </w:abstractNum>
  <w:abstractNum w:abstractNumId="13">
    <w:lvl w:ilvl="0">
      <w:start w:val="1"/>
      <w:numFmt w:val="bullet"/>
      <w:lvlText w:val=""/>
      <w:lvlJc w:val="start"/>
      <w:pPr>
        <w:tabs>
          <w:tab w:val="num" w:pos="1800"/>
        </w:tabs>
        <w:ind w:start="1800" w:hanging="360"/>
      </w:pPr>
      <w:rPr>
        <w:rFonts w:ascii="Symbol" w:hAnsi="Symbol" w:cs="Symbol" w:hint="default"/>
      </w:rPr>
    </w:lvl>
  </w:abstractNum>
  <w:abstractNum w:abstractNumId="14">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upperRoman"/>
      <w:lvlText w:val="%1."/>
      <w:lvlJc w:val="end"/>
      <w:pPr>
        <w:tabs>
          <w:tab w:val="num" w:pos="540"/>
        </w:tabs>
        <w:ind w:start="540" w:hanging="180"/>
      </w:p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4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2001-07-11T13:53:00Z</dcterms:created>
  <dc:creator>Eric Boyt</dc:creator>
  <dc:description/>
  <dc:language>en-CA</dc:language>
  <cp:lastModifiedBy>ewallumr</cp:lastModifiedBy>
  <cp:lastPrinted>2001-07-10T09:04:00Z</cp:lastPrinted>
  <dcterms:modified xsi:type="dcterms:W3CDTF">2001-07-11T15:28:00Z</dcterms:modified>
  <cp:revision>6</cp:revision>
  <dc:subject/>
  <dc:title>Physical Due Diligence Check List</dc:title>
</cp:coreProperties>
</file>