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color w:val="FF6600"/>
        </w:rPr>
        <w:t>TradersNews</w:t>
      </w:r>
      <w:r>
        <w:rPr/>
        <w:t xml:space="preserve"> Hourly ERCOT Index: Thursday, March 1, 2001, Peak Hourly Deals Averaged $53.09, $2.90 below the previous index.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By Suzanna LC Strangmeier</w:t>
      </w:r>
    </w:p>
    <w:p>
      <w:pPr>
        <w:pStyle w:val="Normal"/>
        <w:rPr/>
      </w:pPr>
      <w:r>
        <w:rPr/>
        <w:t xml:space="preserve">    </w:t>
      </w:r>
      <w:r>
        <w:rPr/>
        <w:t>Power Markets Analyst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HOUSTON — </w:t>
      </w:r>
      <w:r>
        <w:rPr>
          <w:sz w:val="20"/>
        </w:rPr>
        <w:t>The aggregated average of on-peak hourly UG and UD deals done at the ERCOT hub for March 1 was $53.09.  UD traded at a premium to UG by $5.70 on average. UG hourly deals averaged $49.98. UD trades averaged $55.68. Volume for each was practically neck-to-neck.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The Nuclear Regulatory Commission (NRC) reported that Reliant Energy’s 1,354-MW nuke, South Texas 2, went into a hot standby after a manual reactor trip due to the failure of a switchyard breaker, which led to the loss of all the circulating water pumps. The hot standby followed on the heels of a coastdown for a refueling outage that had the unit at 95 percent yesterday.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Some traders reported the market prices reflected the loss just before the evening peak; however, the NRC events report lists that the trip occurred early and was reported before noon Central Standard Time.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Players said additional market drivers included the south-to-north constraints, which created inversed bid/ask (b/a) pricing. For hour ending 9, the inverse b/a average differed $14 between the south and north market, and $20.50 for hour ending 10.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 xml:space="preserve">Hours ending 16-18 also had inversed b/a information. The indicative price listed in the index for those hours is the average of the tightest inversed b/a from two parties.  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One trader said the south-to-north transmission “opened wide after maintenance crews completed work around hour ending 15.”  He reportedly heard that would be the case for Friday as well.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The following were average hourly trades done Thursday, March 1, 2001, on-peak deliveries:</w:t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560"/>
        <w:gridCol w:w="1572"/>
        <w:gridCol w:w="1586"/>
        <w:gridCol w:w="1674"/>
        <w:gridCol w:w="1528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HOUR ENDING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WACOP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4-Hour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AVG.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50.00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46.00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46.00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46.00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46.00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46.00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46.00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7 - 10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 45.25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52.67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61.00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52.67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61.00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52.94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61.00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170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 xml:space="preserve">11 - 14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52.67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39.00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61.00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 52.74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59.50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61.00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15 - 18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57.00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$ 57.88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59.33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58.24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270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ahoma" w:hAnsi="Tahoma" w:eastAsia="Arial Unicode MS;Tahoma" w:cs="Tahoma"/>
                <w:b/>
                <w:bCs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58.50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62.00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19- 22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50.00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48.00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$ 56.52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Total Weighted Average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$   53.09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1,370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NOTE:</w:t>
      </w:r>
      <w:r>
        <w:rPr/>
        <w:t xml:space="preserve"> </w:t>
      </w:r>
      <w:r>
        <w:rPr>
          <w:i/>
          <w:iCs/>
          <w:sz w:val="28"/>
        </w:rPr>
        <w:t>I</w:t>
      </w:r>
      <w:r>
        <w:rPr>
          <w:i/>
          <w:iCs/>
        </w:rPr>
        <w:t>n order to meet TradersNews Index methodology for all indexes, TradersNews requires bid/ask information from more than one source for all hours to create the tightest bid/ask spread possible</w:t>
      </w:r>
      <w:r>
        <w:rPr/>
        <w:t xml:space="preserve">. Tracking and provision of indicative pricing has improved since beta testing began; please continue to develop internal methods for tracking and reporting these values. There were no trades reported for peak hour ending 16-17.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Roman 10cpi;Times New Roman" w:ascii="Roman 10cpi;Times New Roman" w:hAnsi="Roman 10cpi;Times New Roman"/>
        </w:rPr>
        <w:t xml:space="preserve">Comments? E-mail Suzanna Strangmeier at </w:t>
      </w:r>
      <w:hyperlink r:id="rId2">
        <w:r>
          <w:rPr>
            <w:rStyle w:val="Hyperlink"/>
            <w:rFonts w:cs="Roman 10cpi;Times New Roman" w:ascii="Roman 10cpi;Times New Roman" w:hAnsi="Roman 10cpi;Times New Roman"/>
          </w:rPr>
          <w:t>suzanna</w:t>
        </w:r>
        <w:r>
          <w:rPr>
            <w:rStyle w:val="Hyperlink"/>
            <w:rFonts w:cs="Roman 10cpi;Times New Roman" w:ascii="Roman 10cpi;Times New Roman" w:hAnsi="Roman 10cpi;Times New Roman"/>
          </w:rPr>
          <w:t>.strangmeier@ipgdirect.com</w:t>
        </w:r>
      </w:hyperlink>
      <w:r>
        <w:rPr>
          <w:rFonts w:cs="Roman 10cpi;Times New Roman" w:ascii="Roman 10cpi;Times New Roman" w:hAnsi="Roman 10cpi;Times New Roman"/>
        </w:rPr>
        <w:t>,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eastAsia="Roman 10cpi;Times New Roman" w:cs="Roman 10cpi;Times New Roman" w:ascii="Roman 10cpi;Times New Roman" w:hAnsi="Roman 10cpi;Times New Roman"/>
        </w:rPr>
        <w:t xml:space="preserve"> </w:t>
      </w:r>
      <w:r>
        <w:rPr>
          <w:rFonts w:cs="Roman 10cpi;Times New Roman" w:ascii="Roman 10cpi;Times New Roman" w:hAnsi="Roman 10cpi;Times New Roman"/>
        </w:rPr>
        <w:t>or call her at 713-647-7325.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p>
      <w:pPr>
        <w:pStyle w:val="Normal"/>
        <w:rPr>
          <w:rFonts w:ascii="Roman 10cpi;Times New Roman" w:hAnsi="Roman 10cpi;Times New Roman" w:cs="Roman 10cpi;Times New Roman"/>
          <w:sz w:val="20"/>
        </w:rPr>
      </w:pPr>
      <w:hyperlink r:id="rId3">
        <w:r>
          <w:rPr>
            <w:rStyle w:val="Hyperlink"/>
          </w:rPr>
          <w:t>http://www.tradersnewsenergy.com/</w:t>
        </w:r>
      </w:hyperlink>
    </w:p>
    <w:p>
      <w:pPr>
        <w:pStyle w:val="Normal"/>
        <w:rPr/>
      </w:pPr>
      <w:r>
        <w:rPr>
          <w:rFonts w:cs="Roman 10cpi;Times New Roman" w:ascii="Roman 10cpi;Times New Roman" w:hAnsi="Roman 10cpi;Times New Roman"/>
        </w:rPr>
        <w:t>TradersNews Energy™ is a service of Internet Publishing Group, Inc.</w:t>
      </w:r>
    </w:p>
    <w:p>
      <w:pPr>
        <w:pStyle w:val="Normal"/>
        <w:rPr>
          <w:rFonts w:ascii="Roman 10cpi;Times New Roman" w:hAnsi="Roman 10cpi;Times New Roman" w:cs="Roman 10cpi;Times New Roman"/>
        </w:rPr>
      </w:pPr>
      <w:r>
        <w:rPr>
          <w:rFonts w:cs="Roman 10cpi;Times New Roman" w:ascii="Roman 10cpi;Times New Roman" w:hAnsi="Roman 10cpi;Times New Roman"/>
        </w:rPr>
      </w:r>
    </w:p>
    <w:sectPr>
      <w:type w:val="nextPage"/>
      <w:pgSz w:w="12240" w:h="15840"/>
      <w:pgMar w:left="720" w:right="720" w:gutter="0" w:header="0" w:top="72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zanna.strangmeier@ipgdirect.com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2001-03-02T15:25:00Z</dcterms:created>
  <dc:creator>Mark Stephen Keller</dc:creator>
  <dc:description/>
  <dc:language>en-CA</dc:language>
  <cp:lastModifiedBy>Greg Baber</cp:lastModifiedBy>
  <cp:lastPrinted>2001-03-01T13:10:00Z</cp:lastPrinted>
  <dcterms:modified xsi:type="dcterms:W3CDTF">2001-03-02T15:25:00Z</dcterms:modified>
  <cp:revision>2</cp:revision>
  <dc:subject/>
  <dc:title>July natural gas futures post massive correction amid profit taking </dc:title>
</cp:coreProperties>
</file>