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4"/>
        <w:rPr>
          <w:b/>
          <w:sz w:val="22"/>
        </w:rPr>
      </w:pPr>
      <w:r>
        <w:rPr>
          <w:b/>
          <w:sz w:val="22"/>
        </w:rPr>
      </w:r>
    </w:p>
    <w:p>
      <w:pPr>
        <w:pStyle w:val="Normal"/>
        <w:spacing w:lineRule="exact" w:line="240"/>
        <w:ind w:end="720"/>
        <w:jc w:val="center"/>
        <w:rPr>
          <w:b/>
          <w:bCs/>
          <w:color w:val="000000"/>
          <w:sz w:val="22"/>
          <w:szCs w:val="22"/>
        </w:rPr>
      </w:pPr>
      <w:r>
        <w:rPr>
          <w:b/>
          <w:bCs/>
          <w:color w:val="000000"/>
          <w:sz w:val="22"/>
          <w:szCs w:val="22"/>
        </w:rPr>
        <w:t>EXCEL ENERGY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 xml:space="preserve">  </w:t>
      </w:r>
      <w:r>
        <w:rPr>
          <w:sz w:val="22"/>
        </w:rPr>
        <w:t xml:space="preserve"> (the “Effective Date”),  is made and entered into by </w:t>
      </w:r>
      <w:r>
        <w:rPr>
          <w:b/>
          <w:bCs/>
          <w:sz w:val="22"/>
        </w:rPr>
        <w:t>EXCEL ENERGY INC.</w:t>
      </w:r>
      <w:r>
        <w:rPr>
          <w:sz w:val="22"/>
        </w:rPr>
        <w:t>, a Minnesota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BodyTextIndent"/>
        <w:tabs>
          <w:tab w:val="clear" w:pos="6480"/>
        </w:tabs>
        <w:rPr/>
      </w:pPr>
      <w:r>
        <w:rPr/>
        <w:t>WHEREAS, e prime, inc., a Colorado corporation and an affiliate of Guarantor (“Counterparty”) and Enron North America Corp., a Delaware corporation (formerly known as Enron Capital &amp; Trade Resources Corp.)(“ENA”),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October 17, 1996,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 dated November 1, 1996 (the “Enfolio Agreement”) and the Base Contract for Short-Term Sale and Purchase of Natural Gas dated September 1, 1998 between Counterparty and Columbia Energy Marketing Corporation (“Columbia”), the rights to which were acquired by ENA under that certain Purchase and Sale Agreement dated November 22, 1999 between ENA and Columbia (the “GISB”), whereby Columbia agreed to sell ENA various assets related to Sellers’ wholesale gas and electric trading and marketing operations , as the same may from time to time be modified, amended and supplemented (all such Commodity Transactions and the agreements evidencing same, including without limitation, the Enfolio Agreement and the GISB, whether entered into prior to, on or after the date hereof, as the same may be modified, amended and supplemented, shall be herein referred to collectively as the “Physical Contracts” and together with the Financial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 </w:t>
      </w:r>
      <w:r>
        <w:rPr>
          <w:sz w:val="22"/>
        </w:rPr>
        <w:t>WHEREAS, Guarantor, through its predecessor in interest New Century Energies, has entered into that certain Continuing Guaranty dated December 30, 1998, and amended as of December 31, 1999, January 24, 2000, February 24, 2000, December 13, 2000, and July 23, 2000</w:t>
      </w:r>
      <w:r>
        <w:rPr>
          <w:b/>
          <w:bCs/>
          <w:sz w:val="22"/>
        </w:rPr>
        <w:t>[2001?]</w:t>
      </w:r>
      <w:r>
        <w:rPr>
          <w:sz w:val="22"/>
        </w:rPr>
        <w:t xml:space="preserve"> (the “Prior Guaranty”) for the benefit of ENA, Enron Power Marketing, Inc. (“EPMI”), Enron Canada Corp. (“ECC”) and Houston Pipe Line Company (“HPL”) in connection with certain  Transactions entered into by Counterparty and ENA, EPMI, ECC and HPL;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$30,000,000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U.S.$30,000,000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_Minnesota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08"/>
        <w:gridCol w:w="3420"/>
        <w:gridCol w:w="1710"/>
        <w:gridCol w:w="3960"/>
      </w:tblGrid>
      <w:tr>
        <w:trPr/>
        <w:tc>
          <w:tcPr>
            <w:tcW w:w="1008" w:type="dxa"/>
            <w:tcBorders/>
          </w:tcPr>
          <w:p>
            <w:pPr>
              <w:pStyle w:val="Normal"/>
              <w:keepNext w:val="true"/>
              <w:keepLines/>
              <w:spacing w:lineRule="atLeast" w:line="240"/>
              <w:rPr>
                <w:sz w:val="22"/>
              </w:rPr>
            </w:pPr>
            <w:r>
              <w:rPr>
                <w:sz w:val="22"/>
              </w:rPr>
              <w:t>To the Enron Parties:</w:t>
            </w:r>
          </w:p>
        </w:tc>
        <w:tc>
          <w:tcPr>
            <w:tcW w:w="3420" w:type="dxa"/>
            <w:tcBorders/>
          </w:tcPr>
          <w:p>
            <w:pPr>
              <w:pStyle w:val="Normal"/>
              <w:keepNext w:val="true"/>
              <w:keepLines/>
              <w:spacing w:lineRule="atLeast" w:line="240"/>
              <w:rPr>
                <w:sz w:val="22"/>
              </w:rPr>
            </w:pPr>
            <w:r>
              <w:rPr>
                <w:sz w:val="22"/>
              </w:rPr>
              <w:t>Enron North America Corp.</w:t>
            </w:r>
          </w:p>
        </w:tc>
        <w:tc>
          <w:tcPr>
            <w:tcW w:w="171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Excel Energy Inc.</w:t>
            </w:r>
          </w:p>
          <w:p>
            <w:pPr>
              <w:pStyle w:val="Normal"/>
              <w:keepNext w:val="true"/>
              <w:keepLines/>
              <w:tabs>
                <w:tab w:val="clear" w:pos="720"/>
                <w:tab w:val="right" w:pos="2988" w:leader="none"/>
              </w:tabs>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1400 Smith Street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Houston, Texas 77002</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Attn.:</w:t>
              <w:tab/>
              <w:t>Director, Documentation Department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Fax No.:  (713) 646-4816</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2001-10-17T17:57:00Z</dcterms:created>
  <dc:creator>tjones</dc:creator>
  <dc:description/>
  <dc:language>en-CA</dc:language>
  <cp:lastModifiedBy>fsayre</cp:lastModifiedBy>
  <cp:lastPrinted>2001-10-17T16:41:00Z</cp:lastPrinted>
  <dcterms:modified xsi:type="dcterms:W3CDTF">2001-10-17T19:24:00Z</dcterms:modified>
  <cp:revision>3</cp:revision>
  <dc:subject/>
  <dc:title>EXHIBIT A</dc:title>
</cp:coreProperties>
</file>