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start="720" w:end="0"/>
        <w:jc w:val="both"/>
        <w:rPr/>
      </w:pPr>
      <w:r>
        <w:rPr/>
      </w:r>
    </w:p>
    <w:p>
      <w:pPr>
        <w:pStyle w:val="Normal"/>
        <w:widowControl/>
        <w:jc w:val="both"/>
        <w:rPr/>
      </w:pPr>
      <w:r>
        <w:rPr/>
      </w:r>
    </w:p>
    <w:p>
      <w:pPr>
        <w:pStyle w:val="Normal"/>
        <w:widowControl/>
        <w:ind w:firstLine="1440" w:end="0"/>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4320" w:end="0"/>
        <w:jc w:val="both"/>
        <w:rPr/>
      </w:pPr>
      <w:r>
        <w:rPr/>
        <w:fldChar w:fldCharType="begin"/>
      </w:r>
      <w:r>
        <w:rPr/>
        <w:instrText xml:space="preserve"> DATE \@"MMMM\ d', 'yyyy" </w:instrText>
      </w:r>
      <w:r>
        <w:rPr/>
        <w:fldChar w:fldCharType="separate"/>
      </w:r>
      <w:r>
        <w:rPr/>
        <w:t>September 28, 2025</w:t>
      </w:r>
      <w:r>
        <w:rPr/>
        <w:fldChar w:fldCharType="end"/>
      </w:r>
    </w:p>
    <w:p>
      <w:pPr>
        <w:pStyle w:val="Normal"/>
        <w:widowControl/>
        <w:ind w:firstLine="720" w:end="0"/>
        <w:jc w:val="both"/>
        <w:rPr/>
      </w:pPr>
      <w:r>
        <w:rPr/>
      </w:r>
    </w:p>
    <w:p>
      <w:pPr>
        <w:pStyle w:val="Normal"/>
        <w:widowControl/>
        <w:jc w:val="both"/>
        <w:rPr/>
      </w:pPr>
      <w:r>
        <w:rPr/>
        <w:t>The Honorable David P. Boergers</w:t>
      </w:r>
    </w:p>
    <w:p>
      <w:pPr>
        <w:pStyle w:val="Normal"/>
        <w:widowControl/>
        <w:jc w:val="both"/>
        <w:rPr/>
      </w:pPr>
      <w:r>
        <w:rPr/>
        <w:t>Secretary</w:t>
      </w:r>
    </w:p>
    <w:p>
      <w:pPr>
        <w:pStyle w:val="Normal"/>
        <w:widowControl/>
        <w:jc w:val="both"/>
        <w:rPr/>
      </w:pPr>
      <w:r>
        <w:rPr/>
        <w:t xml:space="preserve">Federal Energy Regulatory Commission </w:t>
      </w:r>
    </w:p>
    <w:p>
      <w:pPr>
        <w:pStyle w:val="Normal"/>
        <w:widowControl/>
        <w:jc w:val="both"/>
        <w:rPr/>
      </w:pPr>
      <w:r>
        <w:rPr/>
        <w:t xml:space="preserve">888 First Street, NE </w:t>
      </w:r>
    </w:p>
    <w:p>
      <w:pPr>
        <w:pStyle w:val="Normal"/>
        <w:widowControl/>
        <w:jc w:val="both"/>
        <w:rPr/>
      </w:pPr>
      <w:r>
        <w:rPr/>
        <w:t>Washington, D.C.  20426</w:t>
      </w:r>
    </w:p>
    <w:p>
      <w:pPr>
        <w:pStyle w:val="Normal"/>
        <w:widowControl/>
        <w:jc w:val="both"/>
        <w:rPr/>
      </w:pPr>
      <w:r>
        <w:rPr/>
      </w:r>
    </w:p>
    <w:p>
      <w:pPr>
        <w:pStyle w:val="Normal"/>
        <w:widowControl/>
        <w:tabs>
          <w:tab w:val="clear" w:pos="720"/>
          <w:tab w:val="left" w:pos="-1440" w:leader="none"/>
        </w:tabs>
        <w:ind w:hanging="720" w:start="1440" w:end="720"/>
        <w:jc w:val="both"/>
        <w:rPr/>
      </w:pPr>
      <w:r>
        <w:rPr/>
        <w:t>Re:</w:t>
        <w:tab/>
        <w:t>Public Utility Sellers Weekly Report, Enron Power Marketing, Inc.</w:t>
      </w:r>
    </w:p>
    <w:p>
      <w:pPr>
        <w:pStyle w:val="Normal"/>
        <w:widowControl/>
        <w:ind w:firstLine="1440" w:end="0"/>
        <w:jc w:val="both"/>
        <w:rPr/>
      </w:pPr>
      <w:r>
        <w:rPr/>
        <w:t>Week Ending January 14, 2001</w:t>
      </w:r>
    </w:p>
    <w:p>
      <w:pPr>
        <w:pStyle w:val="Normal"/>
        <w:widowControl/>
        <w:jc w:val="both"/>
        <w:rPr/>
      </w:pPr>
      <w:r>
        <w:rPr/>
      </w:r>
    </w:p>
    <w:p>
      <w:pPr>
        <w:pStyle w:val="Normal"/>
        <w:widowControl/>
        <w:jc w:val="both"/>
        <w:rPr/>
      </w:pPr>
      <w:r>
        <w:rPr/>
        <w:t>Dear Secretary Boergers:</w:t>
      </w:r>
    </w:p>
    <w:p>
      <w:pPr>
        <w:pStyle w:val="Normal"/>
        <w:widowControl/>
        <w:jc w:val="both"/>
        <w:rPr/>
      </w:pPr>
      <w:r>
        <w:rPr/>
      </w:r>
    </w:p>
    <w:p>
      <w:pPr>
        <w:pStyle w:val="Normal"/>
        <w:widowControl/>
        <w:ind w:firstLine="720" w:end="0"/>
        <w:jc w:val="both"/>
        <w:rPr/>
      </w:pPr>
      <w:r>
        <w:rPr/>
        <w:t xml:space="preserve">Pursuant to the Commission's December 15, 2000, order in Docket No. EL00-95-000, </w:t>
      </w:r>
      <w:r>
        <w:rPr>
          <w:i/>
        </w:rPr>
        <w:t>San Diego Gas &amp; Electric Company v. Sellers of Energy and Ancillary Services into Markets Operated by the California Independent System Operator and the California Power Exchange</w:t>
      </w:r>
      <w:r>
        <w:rPr/>
        <w:t xml:space="preserve">, 93 F.E.R.C. </w:t>
      </w:r>
      <w:r>
        <w:rPr>
          <w:rFonts w:cs="WP TypographicSymbols" w:ascii="WP TypographicSymbols" w:hAnsi="WP TypographicSymbols"/>
        </w:rPr>
        <w:t>&amp;</w:t>
      </w:r>
      <w:r>
        <w:rPr/>
        <w:t xml:space="preserve"> 61,294 (2000) ("December 15 Order")  Enron Power Marketing, Inc. ("EPMI") hereby submits the "Public Utility Seller's Weekly Report" for the week ending January 14, 2001.</w:t>
      </w:r>
    </w:p>
    <w:p>
      <w:pPr>
        <w:pStyle w:val="Normal"/>
        <w:widowControl/>
        <w:jc w:val="both"/>
        <w:rPr/>
      </w:pPr>
      <w:r>
        <w:rPr/>
      </w:r>
    </w:p>
    <w:p>
      <w:pPr>
        <w:pStyle w:val="Normal"/>
        <w:widowControl/>
        <w:ind w:firstLine="720" w:end="0"/>
        <w:jc w:val="both"/>
        <w:rPr/>
      </w:pPr>
      <w:r>
        <w:rPr/>
        <w:t>EPMI understands that the December 15 Order directs sellers in markets operated by the California Power Exchange Corporation ("CalPX") and California Independent System Operator Corporation ("CAISO") to report weekly to the Commission their accepted bids that exceed the Commission-established "breakpoint" of $150 per MWh.  During the subject week, EPMI submitted no bids to either the CalPX or the CAISO in excess of the breakpoint.  EPMI thus has no reportable transactions under the December 15 Order.</w:t>
      </w:r>
      <w:r>
        <w:rPr>
          <w:rStyle w:val="FootnoteCharacters"/>
          <w:rStyle w:val="FootnoteReference"/>
          <w:vertAlign w:val="superscript"/>
        </w:rPr>
        <w:footnoteReference w:id="2"/>
      </w:r>
    </w:p>
    <w:p>
      <w:pPr>
        <w:pStyle w:val="Normal"/>
        <w:widowControl/>
        <w:jc w:val="both"/>
        <w:rPr/>
      </w:pPr>
      <w:r>
        <w:rPr/>
      </w:r>
    </w:p>
    <w:p>
      <w:pPr>
        <w:pStyle w:val="Normal"/>
        <w:widowControl/>
        <w:ind w:firstLine="720" w:end="0"/>
        <w:jc w:val="both"/>
        <w:rPr>
          <w:rStyle w:val="Hypertext"/>
        </w:rPr>
      </w:pPr>
      <w:r>
        <w:rPr/>
        <w:t xml:space="preserve">Questions regarding this report may be directed to me at 202-466-9150 or </w:t>
      </w:r>
      <w:r>
        <w:rPr>
          <w:rStyle w:val="Hypertext"/>
          <w:color w:val="000000"/>
          <w:u w:val="none"/>
        </w:rPr>
        <w:t>jhartso@enron.com.</w:t>
      </w:r>
    </w:p>
    <w:p>
      <w:pPr>
        <w:pStyle w:val="Normal"/>
        <w:widowControl/>
        <w:jc w:val="both"/>
        <w:rPr>
          <w:rStyle w:val="Hypertext"/>
        </w:rPr>
      </w:pPr>
      <w:r>
        <w:rPr/>
      </w:r>
    </w:p>
    <w:p>
      <w:pPr>
        <w:pStyle w:val="Normal"/>
        <w:widowControl/>
        <w:ind w:firstLine="4320" w:end="0"/>
        <w:jc w:val="both"/>
        <w:rPr/>
      </w:pPr>
      <w:r>
        <w:rPr/>
      </w:r>
    </w:p>
    <w:p>
      <w:pPr>
        <w:pStyle w:val="Normal"/>
        <w:widowControl/>
        <w:ind w:firstLine="4320" w:end="0"/>
        <w:jc w:val="both"/>
        <w:rPr/>
      </w:pPr>
      <w:r>
        <w:rPr/>
        <w:t>Very truly yours,</w:t>
      </w:r>
    </w:p>
    <w:p>
      <w:pPr>
        <w:pStyle w:val="Normal"/>
        <w:widowControl/>
        <w:jc w:val="both"/>
        <w:rPr/>
      </w:pPr>
      <w:r>
        <w:rPr/>
      </w:r>
    </w:p>
    <w:p>
      <w:pPr>
        <w:pStyle w:val="Normal"/>
        <w:widowControl/>
        <w:ind w:firstLine="5760" w:end="0"/>
        <w:jc w:val="both"/>
        <w:rPr/>
      </w:pPr>
      <w:r>
        <w:rPr/>
      </w:r>
    </w:p>
    <w:p>
      <w:pPr>
        <w:pStyle w:val="Normal"/>
        <w:widowControl/>
        <w:ind w:firstLine="4320" w:end="0"/>
        <w:jc w:val="both"/>
        <w:rPr/>
      </w:pPr>
      <w:r>
        <w:rPr/>
        <w:t>Joseph R. Hartsoe</w:t>
      </w:r>
    </w:p>
    <w:p>
      <w:pPr>
        <w:pStyle w:val="Normal"/>
        <w:widowControl/>
        <w:ind w:firstLine="4320" w:end="0"/>
        <w:jc w:val="both"/>
        <w:rPr/>
      </w:pPr>
      <w:r>
        <w:rPr/>
        <w:t>Vice President, Federal Regulatory Affairs</w:t>
      </w:r>
    </w:p>
    <w:p>
      <w:pPr>
        <w:pStyle w:val="Normal"/>
        <w:widowControl/>
        <w:ind w:firstLine="4320" w:end="0"/>
        <w:jc w:val="both"/>
        <w:rPr/>
      </w:pPr>
      <w:r>
        <w:rPr/>
        <w:t>Enron Corp.</w:t>
      </w:r>
    </w:p>
    <w:sectPr>
      <w:footnotePr>
        <w:numFmt w:val="decimal"/>
      </w:footnotePr>
      <w:type w:val="nextPage"/>
      <w:pgSz w:w="12240" w:h="15840"/>
      <w:pgMar w:left="1440" w:right="1440" w:gutter="0" w:header="0" w:top="720"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sz w:val="22"/>
        </w:rPr>
        <w:t xml:space="preserve">  </w:t>
      </w:r>
      <w:r>
        <w:rPr>
          <w:sz w:val="22"/>
        </w:rPr>
        <w:t xml:space="preserve">Although EPMI submitted no bids in excess of the soft cap, the CalPX showed clearing prices in certain hours during the week ending January 14, 2001, that did exceed $150 per MWh.  </w:t>
      </w:r>
    </w:p>
  </w:footnote>
</w:footnotes>
</file>

<file path=word/settings.xml><?xml version="1.0" encoding="utf-8"?>
<w:settings xmlns:w="http://schemas.openxmlformats.org/wordprocessingml/2006/main">
  <w:zoom w:percent="100"/>
  <w:mirrorMargi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2001-01-17T14:25:00Z</dcterms:created>
  <dc:creator>Bracewell &amp; Patterson, L.L.P.</dc:creator>
  <dc:description/>
  <dc:language>en-CA</dc:language>
  <cp:lastModifiedBy>Bracewell &amp; Patterson, L.L.P.</cp:lastModifiedBy>
  <dcterms:modified xsi:type="dcterms:W3CDTF">2001-01-17T14:25:00Z</dcterms:modified>
  <cp:revision>2</cp:revision>
  <dc:subject/>
  <dc:title>January 17, 2001</dc:title>
</cp:coreProperties>
</file>