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eadingTitle"/>
        <w:rPr/>
      </w:pPr>
      <w:commentRangeStart w:id="0"/>
      <w:commentRangeStart w:id="1"/>
      <w:r>
        <w:rPr/>
        <w:t xml:space="preserve">UNITED </w:t>
      </w:r>
      <w:r>
        <w:rPr>
          <w:rStyle w:val="CommentReference"/>
          <w:caps/>
          <w:vanish w:val="false"/>
        </w:rPr>
      </w:r>
      <w:commentRangeEnd w:id="1"/>
      <w:r>
        <w:commentReference w:id="1"/>
      </w:r>
      <w:r>
        <w:rPr>
          <w:rStyle w:val="CommentReference"/>
          <w:caps/>
          <w:vanish w:val="false"/>
        </w:rPr>
      </w:r>
      <w:commentRangeEnd w:id="0"/>
      <w:r>
        <w:commentReference w:id="0"/>
      </w:r>
      <w:r>
        <w:rPr/>
        <w:t xml:space="preserve">STATES OF </w:t>
      </w:r>
      <w:commentRangeStart w:id="2"/>
      <w:r>
        <w:rPr/>
        <w:t>AMERICA</w:t>
      </w:r>
      <w:commentRangeEnd w:id="2"/>
      <w:r>
        <w:commentReference w:id="2"/>
      </w:r>
      <w:r>
        <w:rPr>
          <w:rStyle w:val="CommentReference"/>
          <w:caps/>
          <w:vanish w:val="false"/>
        </w:rPr>
      </w:r>
    </w:p>
    <w:p>
      <w:pPr>
        <w:pStyle w:val="PleadingTitle"/>
        <w:rPr/>
      </w:pPr>
      <w:commentRangeStart w:id="3"/>
      <w:r>
        <w:rPr/>
        <w:t xml:space="preserve">BEFORE </w:t>
      </w:r>
      <w:r>
        <w:rPr>
          <w:rStyle w:val="CommentReference"/>
          <w:caps/>
          <w:vanish w:val="false"/>
        </w:rPr>
      </w:r>
      <w:commentRangeEnd w:id="3"/>
      <w:r>
        <w:commentReference w:id="3"/>
      </w:r>
      <w:r>
        <w:rPr/>
        <w:t>THE</w:t>
      </w:r>
    </w:p>
    <w:p>
      <w:pPr>
        <w:pStyle w:val="PleadingTitle"/>
        <w:rPr/>
      </w:pPr>
      <w:r>
        <w:rPr/>
        <w:t>FEDERAL ENERGY REGULATORY COMMISSION</w:t>
      </w:r>
    </w:p>
    <w:p>
      <w:pPr>
        <w:pStyle w:val="PleadingTitle"/>
        <w:rPr/>
      </w:pPr>
      <w:r>
        <w:rPr/>
      </w:r>
    </w:p>
    <w:p>
      <w:pPr>
        <w:pStyle w:val="PleadingTitle"/>
        <w:rPr/>
      </w:pPr>
      <w:r>
        <w:rPr/>
      </w:r>
    </w:p>
    <w:tbl>
      <w:tblPr>
        <w:tblW w:w="9360" w:type="dxa"/>
        <w:jc w:val="start"/>
        <w:tblInd w:w="0" w:type="dxa"/>
        <w:tblLayout w:type="fixed"/>
        <w:tblCellMar>
          <w:top w:w="0" w:type="dxa"/>
          <w:start w:w="0" w:type="dxa"/>
          <w:bottom w:w="0" w:type="dxa"/>
          <w:end w:w="0" w:type="dxa"/>
        </w:tblCellMar>
      </w:tblPr>
      <w:tblGrid>
        <w:gridCol w:w="4680"/>
        <w:gridCol w:w="144"/>
        <w:gridCol w:w="4536"/>
      </w:tblGrid>
      <w:tr>
        <w:trPr/>
        <w:tc>
          <w:tcPr>
            <w:tcW w:w="4680" w:type="dxa"/>
            <w:tcBorders>
              <w:end w:val="single" w:sz="4" w:space="0" w:color="000000"/>
            </w:tcBorders>
          </w:tcPr>
          <w:p>
            <w:pPr>
              <w:pStyle w:val="Normal"/>
              <w:snapToGrid w:val="false"/>
              <w:rPr/>
            </w:pPr>
            <w:r>
              <w:rPr/>
            </w:r>
            <w:bookmarkStart w:id="0" w:name="Proceed"/>
            <w:bookmarkStart w:id="1" w:name="Proceed"/>
            <w:bookmarkEnd w:id="1"/>
          </w:p>
          <w:p>
            <w:pPr>
              <w:pStyle w:val="Normal"/>
              <w:rPr/>
            </w:pPr>
            <w:r>
              <w:rPr/>
              <w:t>Enron Power Marketing, Inc.</w:t>
            </w:r>
          </w:p>
          <w:p>
            <w:pPr>
              <w:pStyle w:val="Normal"/>
              <w:rPr/>
            </w:pPr>
            <w:r>
              <w:rPr/>
            </w:r>
          </w:p>
        </w:tc>
        <w:tc>
          <w:tcPr>
            <w:tcW w:w="144" w:type="dxa"/>
            <w:tcBorders/>
          </w:tcPr>
          <w:p>
            <w:pPr>
              <w:pStyle w:val="Normal"/>
              <w:snapToGrid w:val="false"/>
              <w:rPr/>
            </w:pPr>
            <w:r>
              <w:rPr/>
            </w:r>
          </w:p>
        </w:tc>
        <w:tc>
          <w:tcPr>
            <w:tcW w:w="4536" w:type="dxa"/>
            <w:tcBorders/>
          </w:tcPr>
          <w:p>
            <w:pPr>
              <w:pStyle w:val="Normal"/>
              <w:snapToGrid w:val="false"/>
              <w:rPr/>
            </w:pPr>
            <w:r>
              <w:rPr/>
            </w:r>
          </w:p>
          <w:p>
            <w:pPr>
              <w:pStyle w:val="Normal"/>
              <w:jc w:val="center"/>
              <w:rPr/>
            </w:pPr>
            <w:r>
              <w:rPr/>
              <w:t xml:space="preserve">Docket No. </w:t>
            </w:r>
            <w:bookmarkStart w:id="2" w:name="FooterCap"/>
            <w:bookmarkEnd w:id="2"/>
            <w:r>
              <w:rPr/>
              <w:t>ER01-____-000</w:t>
            </w:r>
          </w:p>
          <w:p>
            <w:pPr>
              <w:pStyle w:val="Normal"/>
              <w:rPr/>
            </w:pPr>
            <w:r>
              <w:rPr/>
            </w:r>
          </w:p>
        </w:tc>
      </w:tr>
    </w:tbl>
    <w:p>
      <w:pPr>
        <w:pStyle w:val="Normal"/>
        <w:rPr/>
      </w:pPr>
      <w:r>
        <w:rPr/>
      </w:r>
    </w:p>
    <w:p>
      <w:pPr>
        <w:pStyle w:val="Normal"/>
        <w:rPr/>
      </w:pPr>
      <w:r>
        <w:rPr/>
      </w:r>
    </w:p>
    <w:p>
      <w:pPr>
        <w:pStyle w:val="Normal"/>
        <w:rPr/>
      </w:pPr>
      <w:r>
        <w:rPr/>
      </w:r>
    </w:p>
    <w:p>
      <w:pPr>
        <w:pStyle w:val="PleadingTitle"/>
        <w:rPr>
          <w:b/>
        </w:rPr>
      </w:pPr>
      <w:bookmarkStart w:id="3" w:name="CATitle"/>
      <w:bookmarkEnd w:id="3"/>
      <w:r>
        <w:rPr>
          <w:b/>
        </w:rPr>
        <w:t>Notice of Termination and Emergency Request for Waiver of the 60-Day Notice Requirement</w:t>
      </w:r>
    </w:p>
    <w:p>
      <w:pPr>
        <w:pStyle w:val="PleadingBody"/>
        <w:rPr>
          <w:b/>
        </w:rPr>
      </w:pPr>
      <w:r>
        <w:rPr>
          <w:b/>
        </w:rPr>
      </w:r>
      <w:bookmarkStart w:id="4" w:name="Body"/>
      <w:bookmarkStart w:id="5" w:name="Body"/>
      <w:bookmarkEnd w:id="5"/>
    </w:p>
    <w:p>
      <w:pPr>
        <w:pStyle w:val="PleadingBody"/>
        <w:jc w:val="center"/>
        <w:rPr>
          <w:b/>
        </w:rPr>
      </w:pPr>
      <w:r>
        <w:rPr>
          <w:b/>
        </w:rPr>
        <w:t>I.  INTRODUCTION</w:t>
      </w:r>
    </w:p>
    <w:p>
      <w:pPr>
        <w:pStyle w:val="PleadingBody"/>
        <w:rPr/>
      </w:pPr>
      <w:r>
        <w:rPr/>
        <w:t xml:space="preserve">Pursuant to Section 205 of the Federal Power Act, 16 U.S.C. § 824d (2000) and Section 35.15 of the Commission’s regulations, Enron Power Marketing, Inc. (“EPMI”) hereby provides notice of termination of its December 31, 1997 PX Participation Agreement with the California Power Exchange Corporation (“CalPX”) (Attached as Exhibit 1).  For the reasons set forth below, EPMI requests waiver of the 60-day notice period to permit this termination to become effective as of January 31, 2001.  </w:t>
      </w:r>
    </w:p>
    <w:p>
      <w:pPr>
        <w:pStyle w:val="PleadingBody"/>
        <w:ind w:hanging="0" w:end="0"/>
        <w:jc w:val="center"/>
        <w:rPr>
          <w:b/>
        </w:rPr>
      </w:pPr>
      <w:r>
        <w:rPr>
          <w:b/>
        </w:rPr>
        <w:t>II.  COMMUNICATIONS</w:t>
      </w:r>
    </w:p>
    <w:p>
      <w:pPr>
        <w:pStyle w:val="PleadingBody"/>
        <w:ind w:hanging="0" w:end="0"/>
        <w:rPr/>
      </w:pPr>
      <w:r>
        <w:rPr/>
        <w:tab/>
        <w:t>Any communications regarding this notice and the motion should be addressed to the following person:</w:t>
      </w:r>
    </w:p>
    <w:p>
      <w:pPr>
        <w:pStyle w:val="PleadingBody"/>
        <w:spacing w:lineRule="auto" w:line="240"/>
        <w:ind w:hanging="0" w:end="0"/>
        <w:rPr/>
      </w:pPr>
      <w:r>
        <w:rPr/>
        <w:tab/>
        <w:tab/>
        <w:tab/>
        <w:tab/>
        <w:tab/>
        <w:t>Stephen C. Hall, Esq.</w:t>
      </w:r>
    </w:p>
    <w:p>
      <w:pPr>
        <w:pStyle w:val="PleadingBody"/>
        <w:spacing w:lineRule="auto" w:line="240"/>
        <w:ind w:hanging="0" w:end="0"/>
        <w:rPr/>
      </w:pPr>
      <w:r>
        <w:rPr/>
        <w:tab/>
        <w:tab/>
        <w:tab/>
        <w:tab/>
        <w:tab/>
        <w:t>Stoel Rives LLP</w:t>
      </w:r>
    </w:p>
    <w:p>
      <w:pPr>
        <w:pStyle w:val="PleadingBody"/>
        <w:spacing w:lineRule="auto" w:line="240"/>
        <w:ind w:hanging="0" w:end="0"/>
        <w:rPr/>
      </w:pPr>
      <w:r>
        <w:rPr/>
        <w:tab/>
        <w:tab/>
        <w:tab/>
        <w:tab/>
        <w:tab/>
        <w:t>900 SW Fifth Ave., Suite 2600</w:t>
      </w:r>
    </w:p>
    <w:p>
      <w:pPr>
        <w:pStyle w:val="PleadingBody"/>
        <w:spacing w:lineRule="auto" w:line="240"/>
        <w:ind w:hanging="0" w:end="0"/>
        <w:rPr/>
      </w:pPr>
      <w:r>
        <w:rPr/>
        <w:tab/>
        <w:tab/>
        <w:tab/>
        <w:tab/>
        <w:tab/>
        <w:t>Portland, OR  97201</w:t>
      </w:r>
    </w:p>
    <w:p>
      <w:pPr>
        <w:pStyle w:val="PleadingBody"/>
        <w:spacing w:lineRule="auto" w:line="240"/>
        <w:ind w:hanging="0" w:end="0"/>
        <w:rPr/>
      </w:pPr>
      <w:r>
        <w:rPr/>
        <w:tab/>
        <w:tab/>
        <w:tab/>
        <w:tab/>
        <w:tab/>
        <w:t>Phone:  503-294-9852</w:t>
      </w:r>
    </w:p>
    <w:p>
      <w:pPr>
        <w:pStyle w:val="PleadingBody"/>
        <w:spacing w:lineRule="auto" w:line="240"/>
        <w:ind w:hanging="0" w:end="0"/>
        <w:rPr/>
      </w:pPr>
      <w:r>
        <w:rPr/>
        <w:tab/>
        <w:tab/>
        <w:tab/>
        <w:tab/>
        <w:tab/>
        <w:t>Fax:  503-224-2480</w:t>
      </w:r>
    </w:p>
    <w:p>
      <w:pPr>
        <w:pStyle w:val="PleadingBody"/>
        <w:spacing w:lineRule="auto" w:line="240"/>
        <w:ind w:hanging="0" w:end="0"/>
        <w:rPr/>
      </w:pPr>
      <w:r>
        <w:rPr/>
        <w:tab/>
        <w:tab/>
        <w:tab/>
        <w:tab/>
        <w:tab/>
        <w:t xml:space="preserve">E-mail: schall@stoel.com </w:t>
      </w:r>
    </w:p>
    <w:p>
      <w:pPr>
        <w:pStyle w:val="PleadingBody"/>
        <w:spacing w:lineRule="auto" w:line="240"/>
        <w:ind w:hanging="0" w:end="0"/>
        <w:rPr/>
      </w:pPr>
      <w:r>
        <w:rPr/>
      </w:r>
    </w:p>
    <w:p>
      <w:pPr>
        <w:pStyle w:val="PleadingBody"/>
        <w:ind w:hanging="0" w:end="0"/>
        <w:jc w:val="center"/>
        <w:rPr>
          <w:b/>
        </w:rPr>
      </w:pPr>
      <w:r>
        <w:rPr>
          <w:b/>
        </w:rPr>
        <w:t>III. BASIS FOR TERMINATION</w:t>
      </w:r>
    </w:p>
    <w:p>
      <w:pPr>
        <w:pStyle w:val="PleadingBody"/>
        <w:rPr/>
      </w:pPr>
      <w:r>
        <w:rPr/>
        <w:t xml:space="preserve">As a consequence of the CalPX’s January 29, 2001 decision to suspend operations of the CalPX Day-Ahead and Day-Of markets, EPMI seeks an order from the Commission terminating EPMI’s PX Participation Agreement.  The CalPX’s abrupt and extraordinary action follows the Commission’s January 29, 2001 Order requiring the CalPX to immediately recalculate its market-clearing prices since January 1, 2001. </w:t>
      </w:r>
      <w:r>
        <w:rPr>
          <w:i/>
        </w:rPr>
        <w:t>San Diego Gas &amp; Electric Co.</w:t>
      </w:r>
      <w:r>
        <w:rPr/>
        <w:t xml:space="preserve">, 94 FERC ¶ 61,085 (Jan. 29, 2001).  The CalPX’s suspension of trading due to its stated inability to calculate a $150 breakpoint, combined with the Commission’s Order terminating the CalPX’s wholesale tariffs and its function as an exclusive mandatory exchange, effective April 30, 2001, </w:t>
      </w:r>
      <w:r>
        <w:rPr>
          <w:i/>
        </w:rPr>
        <w:t>see San Diego Gas &amp; Electric Co.</w:t>
      </w:r>
      <w:r>
        <w:rPr/>
        <w:t>, 93 FERC ¶ 61,294 (Dec. 15, 2000), make it highly unlikely that the CalPX will resume its trading operations.  Accordingly, EPMI seeks to terminate its PX Participation Agreement, dated December 31, 1997.</w:t>
      </w:r>
    </w:p>
    <w:p>
      <w:pPr>
        <w:pStyle w:val="PleadingBody"/>
        <w:ind w:hanging="0" w:end="0"/>
        <w:jc w:val="center"/>
        <w:rPr>
          <w:b/>
        </w:rPr>
      </w:pPr>
      <w:r>
        <w:rPr>
          <w:b/>
        </w:rPr>
        <w:t>IV.  WAIVER OF THE 60-DAY NOTICE REQUIREMENT</w:t>
      </w:r>
    </w:p>
    <w:p>
      <w:pPr>
        <w:pStyle w:val="PleadingBody"/>
        <w:rPr/>
      </w:pPr>
      <w:r>
        <w:rPr/>
        <w:t xml:space="preserve">Good cause exists to waive the 60-day notice requirement of Section 35.15. because the CalPX has suspended trading in the Day-Ahead and Day-Of PX Markets effective January 30, 2001 and January 31, 2001 respectively.  Accordingly, a 60-day notice period is unnecessary because there cannot be any further sales or purchases made under EPMI’s CalPX Participation Agreement.  Finally, EPMI notes that a waiver of the 60-day notice period will expedite the expressed intent of the CalPX to effect an orderly and speedy wind-up of its corporate affairs.  </w:t>
      </w:r>
    </w:p>
    <w:p>
      <w:pPr>
        <w:pStyle w:val="PleadingBody"/>
        <w:ind w:hanging="0" w:end="0"/>
        <w:jc w:val="center"/>
        <w:rPr>
          <w:b/>
        </w:rPr>
      </w:pPr>
      <w:r>
        <w:rPr>
          <w:b/>
        </w:rPr>
        <w:t>V.  CONCLUSION</w:t>
      </w:r>
    </w:p>
    <w:p>
      <w:pPr>
        <w:pStyle w:val="PleadingBody"/>
        <w:ind w:hanging="0" w:end="0"/>
        <w:rPr/>
      </w:pPr>
      <w:r>
        <w:rPr/>
        <w:tab/>
        <w:t>For the foregoing reasons, EPMI respectfully requests that the Commission accept this Notice of Termination of its PX Participation Agreement, effective January 31, 2001.</w:t>
      </w:r>
    </w:p>
    <w:p>
      <w:pPr>
        <w:pStyle w:val="PleadingBody"/>
        <w:rPr/>
      </w:pPr>
      <w:r>
        <w:rPr/>
        <w:t xml:space="preserve">DATED:  </w:t>
      </w:r>
      <w:r>
        <w:rPr>
          <w:lang w:val="en-CA"/>
        </w:rPr>
        <w:t>January 31, 2001</w:t>
      </w:r>
      <w:r>
        <w:rPr/>
        <w:t>.</w:t>
      </w:r>
    </w:p>
    <w:p>
      <w:pPr>
        <w:pStyle w:val="Normal"/>
        <w:rPr>
          <w:smallCaps/>
        </w:rPr>
      </w:pPr>
      <w:r>
        <w:rPr>
          <w:smallCaps/>
        </w:rPr>
      </w:r>
    </w:p>
    <w:p>
      <w:pPr>
        <w:pStyle w:val="SignatureBlock"/>
        <w:rPr/>
      </w:pPr>
      <w:r>
        <w:rPr/>
        <w:t xml:space="preserve">STOEL RIVES </w:t>
      </w:r>
      <w:r>
        <w:rPr>
          <w:sz w:val="18"/>
        </w:rPr>
        <w:t>LLP</w:t>
      </w:r>
    </w:p>
    <w:p>
      <w:pPr>
        <w:pStyle w:val="SignatureBlock"/>
        <w:rPr>
          <w:sz w:val="18"/>
        </w:rPr>
      </w:pPr>
      <w:r>
        <w:rPr>
          <w:sz w:val="18"/>
        </w:rPr>
      </w:r>
    </w:p>
    <w:p>
      <w:pPr>
        <w:pStyle w:val="SignatureBlock"/>
        <w:rPr/>
      </w:pPr>
      <w:r>
        <w:rPr/>
      </w:r>
    </w:p>
    <w:p>
      <w:pPr>
        <w:pStyle w:val="SignatureBlock"/>
        <w:rPr/>
      </w:pPr>
      <w:r>
        <w:rPr/>
      </w:r>
    </w:p>
    <w:p>
      <w:pPr>
        <w:pStyle w:val="SignatureBlock"/>
        <w:rPr>
          <w:u w:val="single"/>
        </w:rPr>
      </w:pPr>
      <w:r>
        <w:rPr>
          <w:u w:val="single"/>
        </w:rPr>
        <w:tab/>
      </w:r>
    </w:p>
    <w:p>
      <w:pPr>
        <w:pStyle w:val="SignatureBlock"/>
        <w:rPr/>
      </w:pPr>
      <w:bookmarkStart w:id="6" w:name="Atys2"/>
      <w:bookmarkEnd w:id="6"/>
      <w:r>
        <w:rPr/>
        <w:t>Stephen C. Hall</w:t>
      </w:r>
    </w:p>
    <w:p>
      <w:pPr>
        <w:pStyle w:val="SignatureBlock"/>
        <w:rPr/>
      </w:pPr>
      <w:bookmarkStart w:id="7" w:name="Address2"/>
      <w:bookmarkStart w:id="8" w:name="Address"/>
      <w:bookmarkEnd w:id="7"/>
      <w:bookmarkEnd w:id="8"/>
      <w:r>
        <w:rPr/>
        <w:t>900 SW Fifth Avenue, Suite 2600</w:t>
      </w:r>
    </w:p>
    <w:p>
      <w:pPr>
        <w:pStyle w:val="SignatureBlock"/>
        <w:rPr/>
      </w:pPr>
      <w:r>
        <w:rPr/>
        <w:t>Portland, OR  97204</w:t>
      </w:r>
    </w:p>
    <w:p>
      <w:pPr>
        <w:pStyle w:val="SignatureBlock"/>
        <w:rPr/>
      </w:pPr>
      <w:r>
        <w:rPr/>
        <w:t>(503) 294-9897</w:t>
      </w:r>
    </w:p>
    <w:p>
      <w:pPr>
        <w:pStyle w:val="SignatureBlock"/>
        <w:rPr/>
      </w:pPr>
      <w:bookmarkStart w:id="9" w:name="Address2"/>
      <w:bookmarkEnd w:id="9"/>
      <w:r>
        <w:rPr/>
        <w:t xml:space="preserve">Attorneys for </w:t>
      </w:r>
      <w:bookmarkStart w:id="10" w:name="Rep2"/>
      <w:bookmarkEnd w:id="10"/>
      <w:r>
        <w:rPr/>
        <w:t>Enron Power Marketing, Inc.</w:t>
      </w:r>
    </w:p>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Stoel Rives" w:date="0-00-00T00:00:00Z" w:initials="SR">
    <w:p>
      <w:pPr>
        <w:overflowPunct w:val="false"/>
        <w:bidi w:val="0"/>
        <w:spacing w:lineRule="auto" w:line="240"/>
        <w:rPr/>
      </w:pPr>
      <w:r>
        <w:annotationRef/>
      </w:r>
      <w:r>
        <w:rPr>
          <w:rFonts w:ascii="CG Times;Times New Roman" w:hAnsi="CG Times;Times New Roman" w:eastAsia="Times New Roman" w:cs="CG Times;Times New Roman"/>
          <w:color w:val="auto"/>
          <w:sz w:val="20"/>
          <w:szCs w:val="20"/>
          <w:lang w:bidi="en-US" w:eastAsia="en-US" w:val="en-US"/>
        </w:rPr>
        <w:t>Finalized on January 29, 2001.</w:t>
      </w:r>
    </w:p>
  </w:comment>
  <w:comment w:id="0" w:author="Scott L. Garland" w:date="0-00-00T00:00:00Z" w:initials="SLG">
    <w:p>
      <w:pPr>
        <w:overflowPunct w:val="false"/>
        <w:bidi w:val="0"/>
        <w:spacing w:lineRule="auto" w:line="240"/>
        <w:rPr/>
      </w:pPr>
      <w:r>
        <w:annotationRef/>
      </w:r>
      <w:r>
        <w:rPr>
          <w:rFonts w:ascii="CG Times;Times New Roman" w:hAnsi="CG Times;Times New Roman" w:eastAsia="Times New Roman" w:cs="CG Times;Times New Roman"/>
          <w:color w:val="auto"/>
          <w:sz w:val="20"/>
          <w:szCs w:val="20"/>
          <w:lang w:bidi="en-US" w:eastAsia="en-US" w:val="en-US"/>
        </w:rPr>
        <w:t>Draft created January 25, 2001.</w:t>
      </w:r>
    </w:p>
  </w:comment>
  <w:comment w:id="2" w:author="Greg Katchmar" w:date="0-00-00T00:00:00Z" w:initials="gnk">
    <w:p>
      <w:pPr>
        <w:overflowPunct w:val="false"/>
        <w:bidi w:val="0"/>
        <w:spacing w:lineRule="auto" w:line="240"/>
        <w:rPr/>
      </w:pPr>
      <w:r>
        <w:annotationRef/>
      </w:r>
      <w:r>
        <w:rPr>
          <w:rFonts w:ascii="CG Times;Times New Roman" w:hAnsi="CG Times;Times New Roman" w:eastAsia="Times New Roman" w:cs="CG Times;Times New Roman"/>
          <w:color w:val="auto"/>
          <w:sz w:val="20"/>
          <w:szCs w:val="20"/>
          <w:lang w:bidi="en-US" w:eastAsia="en-US" w:val="en-US"/>
        </w:rPr>
        <w:t>To adjust multi-line footers, delete trailing returns until the desired alignment is achieved; do NOT delete the last return as it is reserved for the iManage footer.</w:t>
      </w:r>
    </w:p>
    <w:p>
      <w:pPr>
        <w:overflowPunct w:val="false"/>
        <w:bidi w:val="0"/>
        <w:spacing w:lineRule="auto" w:line="240"/>
        <w:rPr/>
      </w:pPr>
      <w:r>
        <w:rPr>
          <w:rFonts w:ascii="CG Times;Times New Roman" w:hAnsi="CG Times;Times New Roman" w:eastAsia="Times New Roman" w:cs="CG Times;Times New Roman"/>
          <w:color w:val="auto"/>
          <w:sz w:val="20"/>
          <w:szCs w:val="20"/>
          <w:lang w:bidi="en-US" w:eastAsia="en-US" w:val="en-US"/>
        </w:rPr>
        <w:t>To delete line numbering and/or firm address “watermark” View Header/Footer, select the text boxes that contain the unwanted information and delete.</w:t>
      </w:r>
    </w:p>
  </w:comment>
  <w:comment w:id="3" w:author="Greg Katchmar" w:date="0-00-00T00:00:00Z" w:initials="gnk">
    <w:p>
      <w:pPr>
        <w:overflowPunct w:val="false"/>
        <w:bidi w:val="0"/>
        <w:spacing w:lineRule="auto" w:line="240"/>
        <w:rPr/>
      </w:pPr>
      <w:r>
        <w:annotationRef/>
      </w:r>
      <w:r>
        <w:rPr>
          <w:rFonts w:ascii="CG Times;Times New Roman" w:hAnsi="CG Times;Times New Roman" w:eastAsia="Times New Roman" w:cs="CG Times;Times New Roman"/>
          <w:color w:val="auto"/>
          <w:sz w:val="20"/>
          <w:szCs w:val="20"/>
          <w:lang w:bidi="en-US" w:eastAsia="en-US" w:val="en-US"/>
        </w:rPr>
        <w:t>“BEFORE THE” is optional; delete if not desired.</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r>
      <w:rPr>
        <w:rStyle w:val="PageNumber"/>
        <w:sz w:val="24"/>
      </w:rPr>
      <w:t xml:space="preserve">  -  NOTICE OF TERMINATION</w:t>
    </w:r>
  </w:p>
  <w:p>
    <w:pPr>
      <w:pStyle w:val="Footer"/>
      <w:jc w:val="end"/>
      <w:rPr/>
    </w:pPr>
    <w:bookmarkStart w:id="11" w:name="DocID"/>
    <w:r>
      <w:rPr>
        <w:rStyle w:val="PageNumber"/>
      </w:rPr>
      <w:t>Portlnd3-1326942.1  0020011-00001</w:t>
    </w:r>
    <w:bookmarkEnd w:id="11"/>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0" allowOverlap="1" relativeHeight="3">
              <wp:simplePos x="0" y="0"/>
              <wp:positionH relativeFrom="margin">
                <wp:posOffset>-640080</wp:posOffset>
              </wp:positionH>
              <wp:positionV relativeFrom="margin">
                <wp:posOffset>0</wp:posOffset>
              </wp:positionV>
              <wp:extent cx="457200" cy="8302625"/>
              <wp:effectExtent l="0" t="0" r="0" b="0"/>
              <wp:wrapNone/>
              <wp:docPr id="1" name="Frame1"/>
              <a:graphic xmlns:a="http://schemas.openxmlformats.org/drawingml/2006/main">
                <a:graphicData uri="http://schemas.microsoft.com/office/word/2010/wordprocessingShape">
                  <wps:wsp>
                    <wps:cNvSpPr txBox="1"/>
                    <wps:spPr>
                      <a:xfrm>
                        <a:off x="0" y="0"/>
                        <a:ext cx="457200" cy="8302625"/>
                      </a:xfrm>
                      <a:prstGeom prst="rect"/>
                      <a:solidFill>
                        <a:srgbClr val="FFFFFF"/>
                      </a:solidFill>
                    </wps:spPr>
                    <wps:txbx>
                      <w:txbxContent>
                        <w:p>
                          <w:pPr>
                            <w:pStyle w:val="DoubleSpace"/>
                            <w:jc w:val="end"/>
                            <w:rPr/>
                          </w:pPr>
                          <w:r>
                            <w:rPr/>
                          </w:r>
                        </w:p>
                      </w:txbxContent>
                    </wps:txbx>
                    <wps:bodyPr anchor="t" lIns="635" tIns="635" rIns="635" bIns="635">
                      <a:noAutofit/>
                    </wps:bodyPr>
                  </wps:wsp>
                </a:graphicData>
              </a:graphic>
            </wp:anchor>
          </w:drawing>
        </mc:Choice>
        <mc:Fallback>
          <w:pict>
            <v:rect fillcolor="#FFFFFF" style="position:absolute;rotation:-0;width:36pt;height:653.75pt;mso-wrap-distance-left:9.05pt;mso-wrap-distance-right:9.05pt;mso-wrap-distance-top:0pt;mso-wrap-distance-bottom:0pt;margin-top:0pt;mso-position-vertical-relative:margin;margin-left:-50.4pt;mso-position-horizontal-relative:margin">
              <v:textbox inset="0.000694444444444445in,0.000694444444444445in,0.000694444444444445in,0.000694444444444445in">
                <w:txbxContent>
                  <w:p>
                    <w:pPr>
                      <w:pStyle w:val="DoubleSpace"/>
                      <w:jc w:val="end"/>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AttorneyName" w:val="0"/>
    <w:docVar w:name="CaptionBoxStyle" w:val="2"/>
    <w:docVar w:name="CourtAlignment" w:val="1"/>
    <w:docVar w:name="CourtName" w:val="IN THE CIRCUIT COURT OF THE STATE OF OREGON&#10;FOR THE COUNTY OF"/>
    <w:docVar w:name="FirmInFtr" w:val="-1"/>
    <w:docVar w:name="FirmInSigBlkStyle" w:val="2"/>
    <w:docVar w:name="FirstLineNum" w:val="1"/>
    <w:docVar w:name="FirstPleadingLine" w:val="3"/>
    <w:docVar w:name="Font" w:val="CG Times"/>
    <w:docVar w:name="IncludeDate" w:val="-1"/>
    <w:docVar w:name="IncludeLineNumbers" w:val="-1"/>
    <w:docVar w:name="JudgeName" w:val="0"/>
    <w:docVar w:name="LeftBorderStyle" w:val="0"/>
    <w:docVar w:name="LineNumIncByOne" w:val="-1"/>
    <w:docVar w:name="LineSpacing" w:val="2"/>
    <w:docVar w:name="LinesPerPage" w:val="26"/>
    <w:docVar w:name="PageNumsInFtr" w:val="-1"/>
    <w:docVar w:name="RightBorderStyle" w:val="0"/>
    <w:docVar w:name="SigBlkYes" w:val="-1"/>
    <w:docVar w:name="SignWith" w:val=" "/>
    <w:docVar w:name="SummaryInFtr"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CG Times;Times New Roman" w:hAnsi="CG Times;Times New Roman" w:eastAsia="Times New Roman" w:cs="CG Time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Authorities">
    <w:name w:val="Table of Authorities"/>
    <w:basedOn w:val="Normal"/>
    <w:next w:val="Normal"/>
    <w:qFormat/>
    <w:pPr>
      <w:spacing w:before="0" w:after="240"/>
      <w:ind w:hanging="720" w:start="720" w:end="0"/>
    </w:pPr>
    <w:rPr/>
  </w:style>
  <w:style w:type="paragraph" w:styleId="EnvelopeAddress">
    <w:name w:val="envelope address"/>
    <w:basedOn w:val="Normal"/>
    <w:pPr>
      <w:spacing w:lineRule="auto" w:line="240"/>
      <w:ind w:hanging="0" w:start="2880" w:end="0"/>
    </w:pPr>
    <w:rPr/>
  </w:style>
  <w:style w:type="paragraph" w:styleId="EnvelopeReturn">
    <w:name w:val="envelope return"/>
    <w:basedOn w:val="Normal"/>
    <w:pPr>
      <w:spacing w:lineRule="auto" w:line="240"/>
    </w:pPr>
    <w:rPr/>
  </w:style>
  <w:style w:type="paragraph" w:styleId="FirmName">
    <w:name w:val="Firm Name"/>
    <w:basedOn w:val="Normal"/>
    <w:qFormat/>
    <w:pPr>
      <w:tabs>
        <w:tab w:val="clear" w:pos="720"/>
        <w:tab w:val="center" w:pos="7776" w:leader="none"/>
      </w:tabs>
      <w:spacing w:lineRule="exact" w:line="120"/>
      <w:jc w:val="center"/>
    </w:pPr>
    <w:rPr>
      <w:sz w:val="1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pPr>
    <w:rPr/>
  </w:style>
  <w:style w:type="paragraph" w:styleId="Footer">
    <w:name w:val="footer"/>
    <w:basedOn w:val="Normal"/>
    <w:pPr>
      <w:tabs>
        <w:tab w:val="clear" w:pos="720"/>
        <w:tab w:val="center" w:pos="4680" w:leader="none"/>
        <w:tab w:val="right" w:pos="9360" w:leader="none"/>
      </w:tabs>
    </w:pPr>
    <w:rPr>
      <w:sz w:val="16"/>
    </w:rPr>
  </w:style>
  <w:style w:type="paragraph" w:styleId="CommentText">
    <w:name w:val="Comment Text"/>
    <w:basedOn w:val="Normal"/>
    <w:qFormat/>
    <w:pPr>
      <w:spacing w:lineRule="auto" w:line="240"/>
    </w:pPr>
    <w:rPr>
      <w:sz w:val="20"/>
    </w:rPr>
  </w:style>
  <w:style w:type="paragraph" w:styleId="PleadingBody">
    <w:name w:val="Pleading Body"/>
    <w:basedOn w:val="Normal"/>
    <w:qFormat/>
    <w:pPr>
      <w:spacing w:lineRule="exact" w:line="480"/>
      <w:ind w:firstLine="720" w:start="0" w:end="0"/>
    </w:pPr>
    <w:rPr/>
  </w:style>
  <w:style w:type="paragraph" w:styleId="FooterCaption">
    <w:name w:val="FooterCaption"/>
    <w:basedOn w:val="Normal"/>
    <w:qFormat/>
    <w:pPr>
      <w:tabs>
        <w:tab w:val="clear" w:pos="720"/>
        <w:tab w:val="left" w:pos="432" w:leader="none"/>
        <w:tab w:val="left" w:pos="792" w:leader="none"/>
        <w:tab w:val="center" w:pos="4680" w:leader="none"/>
      </w:tabs>
      <w:ind w:hanging="792" w:start="792" w:end="0"/>
    </w:pPr>
    <w:rPr/>
  </w:style>
  <w:style w:type="paragraph" w:styleId="FootnoteText">
    <w:name w:val="footnote text"/>
    <w:basedOn w:val="Normal"/>
    <w:pPr>
      <w:spacing w:lineRule="auto" w:line="240"/>
      <w:ind w:firstLine="720" w:start="0" w:end="0"/>
    </w:pPr>
    <w:rPr/>
  </w:style>
  <w:style w:type="paragraph" w:styleId="PleadingTitle">
    <w:name w:val="PleadingTitle"/>
    <w:basedOn w:val="Normal"/>
    <w:qFormat/>
    <w:pPr>
      <w:jc w:val="center"/>
    </w:pPr>
    <w:rPr>
      <w:caps/>
    </w:rPr>
  </w:style>
  <w:style w:type="paragraph" w:styleId="TOAHeading">
    <w:name w:val="TOA Heading"/>
    <w:basedOn w:val="Normal"/>
    <w:next w:val="Normal"/>
    <w:qFormat/>
    <w:pPr>
      <w:spacing w:before="240" w:after="240"/>
    </w:pPr>
    <w:rPr>
      <w:b/>
    </w:rPr>
  </w:style>
  <w:style w:type="paragraph" w:styleId="DoubleSpace">
    <w:name w:val="DoubleSpace"/>
    <w:basedOn w:val="Normal"/>
    <w:qFormat/>
    <w:pPr>
      <w:spacing w:lineRule="exact" w:line="480"/>
    </w:pPr>
    <w:rPr/>
  </w:style>
  <w:style w:type="paragraph" w:styleId="TOC1">
    <w:name w:val="toc 1"/>
    <w:basedOn w:val="Normal"/>
    <w:next w:val="Normal"/>
    <w:pPr>
      <w:tabs>
        <w:tab w:val="left" w:pos="720" w:leader="none"/>
        <w:tab w:val="right" w:pos="9360" w:leader="dot"/>
      </w:tabs>
      <w:spacing w:before="240" w:after="0"/>
      <w:ind w:hanging="720" w:start="720" w:end="720"/>
    </w:pPr>
    <w:rPr/>
  </w:style>
  <w:style w:type="paragraph" w:styleId="TOC2">
    <w:name w:val="toc 2"/>
    <w:basedOn w:val="Normal"/>
    <w:next w:val="Normal"/>
    <w:pPr>
      <w:tabs>
        <w:tab w:val="clear" w:pos="720"/>
        <w:tab w:val="left" w:pos="1440" w:leader="none"/>
        <w:tab w:val="right" w:pos="9360" w:leader="dot"/>
      </w:tabs>
      <w:ind w:hanging="720" w:start="1440" w:end="720"/>
    </w:pPr>
    <w:rPr/>
  </w:style>
  <w:style w:type="paragraph" w:styleId="TOC3">
    <w:name w:val="toc 3"/>
    <w:basedOn w:val="Normal"/>
    <w:next w:val="Normal"/>
    <w:pPr>
      <w:tabs>
        <w:tab w:val="clear" w:pos="720"/>
        <w:tab w:val="left" w:pos="2160" w:leader="none"/>
        <w:tab w:val="right" w:pos="9360" w:leader="dot"/>
      </w:tabs>
      <w:ind w:hanging="720" w:start="2160" w:end="720"/>
    </w:pPr>
    <w:rPr/>
  </w:style>
  <w:style w:type="paragraph" w:styleId="TOC4">
    <w:name w:val="toc 4"/>
    <w:basedOn w:val="Normal"/>
    <w:next w:val="Normal"/>
    <w:pPr>
      <w:tabs>
        <w:tab w:val="clear" w:pos="720"/>
        <w:tab w:val="left" w:pos="2880" w:leader="none"/>
        <w:tab w:val="right" w:pos="9360" w:leader="dot"/>
      </w:tabs>
      <w:ind w:hanging="720" w:start="2880" w:end="720"/>
    </w:pPr>
    <w:rPr/>
  </w:style>
  <w:style w:type="paragraph" w:styleId="TOC5">
    <w:name w:val="toc 5"/>
    <w:basedOn w:val="Normal"/>
    <w:next w:val="Normal"/>
    <w:pPr>
      <w:tabs>
        <w:tab w:val="clear" w:pos="720"/>
        <w:tab w:val="left" w:pos="3600" w:leader="none"/>
        <w:tab w:val="right" w:pos="9360" w:leader="dot"/>
      </w:tabs>
      <w:ind w:hanging="720" w:start="3600" w:end="720"/>
    </w:pPr>
    <w:rPr/>
  </w:style>
  <w:style w:type="paragraph" w:styleId="SignatureBlock">
    <w:name w:val="Signature Block"/>
    <w:basedOn w:val="Normal"/>
    <w:qFormat/>
    <w:pPr>
      <w:tabs>
        <w:tab w:val="clear" w:pos="720"/>
        <w:tab w:val="right" w:pos="9360" w:leader="none"/>
      </w:tabs>
      <w:ind w:hanging="0" w:start="46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All FERC</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2001-01-31T22:15:00Z</dcterms:created>
  <dc:creator>Scott L. Garland</dc:creator>
  <dc:description/>
  <dc:language>en-CA</dc:language>
  <cp:lastModifiedBy>steve hall</cp:lastModifiedBy>
  <cp:lastPrinted>2001-01-31T14:59:00Z</cp:lastPrinted>
  <dcterms:modified xsi:type="dcterms:W3CDTF">2001-01-31T22:15:00Z</dcterms:modified>
  <cp:revision>2</cp:revision>
  <dc:subject/>
  <dc:title>Pleading</dc:title>
</cp:coreProperties>
</file>