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sz w:val="18"/>
        </w:rPr>
      </w:pPr>
      <w:r>
        <w:rPr>
          <w:sz w:val="18"/>
        </w:rPr>
      </w:r>
    </w:p>
    <w:p>
      <w:pPr>
        <w:pStyle w:val="Normal"/>
        <w:widowControl/>
        <w:jc w:val="center"/>
        <w:rPr>
          <w:sz w:val="24"/>
        </w:rPr>
      </w:pPr>
      <w:r>
        <w:rPr>
          <w:sz w:val="24"/>
        </w:rPr>
      </w:r>
    </w:p>
    <w:p>
      <w:pPr>
        <w:pStyle w:val="Heading2"/>
        <w:widowControl/>
        <w:ind w:hanging="0" w:start="0"/>
        <w:rPr/>
      </w:pPr>
      <w:r>
        <w:rPr/>
        <w:t>TERM SHEET</w:t>
      </w:r>
    </w:p>
    <w:p>
      <w:pPr>
        <w:pStyle w:val="Normal"/>
        <w:rPr/>
      </w:pPr>
      <w:r>
        <w:rPr/>
      </w:r>
    </w:p>
    <w:p>
      <w:pPr>
        <w:pStyle w:val="Normal"/>
        <w:widowControl/>
        <w:jc w:val="center"/>
        <w:rPr>
          <w:sz w:val="24"/>
        </w:rPr>
      </w:pPr>
      <w:r>
        <w:rPr>
          <w:sz w:val="24"/>
        </w:rPr>
        <w:t>Engineering, Procurement and Construction Contract</w:t>
      </w:r>
    </w:p>
    <w:p>
      <w:pPr>
        <w:pStyle w:val="Normal"/>
        <w:widowControl/>
        <w:jc w:val="center"/>
        <w:rPr>
          <w:sz w:val="24"/>
        </w:rPr>
      </w:pPr>
      <w:r>
        <w:rPr>
          <w:sz w:val="24"/>
        </w:rPr>
        <w:t>(“EPC Contract”) - Naco-Nogales, Sonora State Project</w:t>
      </w:r>
    </w:p>
    <w:p>
      <w:pPr>
        <w:pStyle w:val="Normal"/>
        <w:widowControl/>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To be formed Mexican project company (the “Owner”) and Enron Engineering &amp; Construction Company (the “Contractor”); provided however, Contractor may assign the EPC Contract to an affiliate or subsidiary with the prior consent of Owner, which consent shall not be unreasonably withheld.</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Bidding Guidelines</w:t>
      </w:r>
      <w:r>
        <w:rPr>
          <w:sz w:val="24"/>
        </w:rPr>
        <w:t>:</w:t>
        <w:tab/>
        <w:t>Bidding Guidelines (as amended, the “Bidding Guidelines”) issued by Comisión Federal de Electricidad (“CFE”) on October 15, 1998 as part of Invitation to Bid #18164093-006-98 (the “Invitation to Bid”).</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power plant and related facilities in Agua Prieta, Sonora State, Mexico that are required to be built pursuant to (i) the Invitation to Bid and the Bidding Guidelines (Rev. 2) (dated June 29, 1999) and (ii) the agreement to provide power to Grupo Mexico, S.A. de C.V. (“Grupo Mexico”) and further described in the proposal (the “Owner’s Proposal”) submitted by Owner to CFE on September 30, 1999 as part of the bid (the “Project”).  The Project includes the Power Block, the Balance of Plant and the Offsites as such terms are defined in the Bid Specifications issued to Contractor by Sargent and Lundy (S&amp;L) on Owner’s behalf, as the same may hereafter be further refined and agreed to by the parties (the “Bid Specifications”) and all tie-ins to CFE and Grupo Mexico (the “Plant”), wastewater treatment facility, wastewater pipeline and natural gas pipeline contemplated in the Bidding Guidelines (the “Other Facilities”).  In the event of a conflict among the specifications, they shall have the following priority: first the Owner’s Proposal, second, the CFE Bidding Guidelines and third, the Bid Specifications.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BodyTextIndent"/>
        <w:rPr/>
      </w:pPr>
      <w:r>
        <w:rPr/>
        <w:t>The EPC Contract shall include an option whereby the Owner can cause the Project to be constructed at a site in Nacozari, Sonora State of Mexico.  Which site and related required changes to the Project are indicated in an amendment tothe Bid Specifications issued by Sargent &amp; Lundy.  If such option is exercised the defined terms in this TS relating to the construction of the Project will be deemed modified accordingly.</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CFE Power Purchase Agreement</w:t>
      </w:r>
      <w:r>
        <w:rPr>
          <w:sz w:val="24"/>
        </w:rPr>
        <w:t>:</w:t>
        <w:tab/>
        <w:t>The Agreement for Commitment of Electrical Power Generation Capacity and Purchase and Sale of Associated Electrical Power to be entered into between Owner and CFE (the “CFE PPA”), which is a part of the Bidding Guidelines.</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GM Power Provision Agreement</w:t>
      </w:r>
      <w:r>
        <w:rPr>
          <w:sz w:val="24"/>
        </w:rPr>
        <w:t>:</w:t>
        <w:tab/>
        <w:t>The Agreement for Provision of Electrical Power Generation Capacity and Associated Electrical Energy to be entered into between Owner and Grupo Mexico (the “GM PPA”).</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Definitions</w:t>
      </w:r>
      <w:r>
        <w:rPr>
          <w:sz w:val="24"/>
        </w:rPr>
        <w:t>:</w:t>
        <w:tab/>
        <w:t>Capitalized terms used but not defined in this Term Sheet shall have the meanings given such terms in the CFE PPA or GM PPA.</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 xml:space="preserve">The Contractor will perform all engineering, design, procurement, and construction,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Project, as described and limited in the EPC Contract, in each case in accordance with the requirements of the CFE PPA (including, without limitation, the Bid Specifications and the Schedule, but excluding the Owner Obligations (as hereinafter defined)), the GM PPA, the Owner’s Proposal, the Bidding Guidelines and the Bid Specifications on a turnkey basis (collectively, the “Work” or the “Scope of Work”).  The Scope of Work also will include (i) assisting the Owner in arranging for the performance of geotechnical studies, (ii) establishing and implementing a quality control system in the Work, including the provision of manuals for the Main Equipment, (iii) providing monthly reports on the Work to the Owner, (iv) providing (or causing its subcontractors to provide) at the project site office space and supplies, as defined in Section 3.9.7 of the Bidding Guidelines, suitable for CFE’s engineering and material procurement needs during construction and testing, (v)  providing (or causing its subcontractors to provide) at the project site, office space and facilities for 2 Owner’s Representatives, suitable for Owner’s needs during construction and testing, (vi) assisting the Owner in drafting the operating procedures, as described and limited in the EPC Contract, (vii) assisting the Owner in performing risk analyses, environmental and other studies, (viii) assisting the Owner in developing an environmental administration system, (ix) assisting the Owner in preparing the Quality Control System, and (x) assisting the Owner in preparing the reports required pursuant to Section 5.11 of the CFE PPA.  The Work will include, without limitation, all obligations of the Owner under the following sections of the PPA: Articles 5.1(a), 5.1(e), 5.1(f), 5.1(g), 5.1(j), 5.1(k), 5.1(n), 5.1(p), 5.1(r) (to the extent that the workers were engaged by Contractor or its subcontractors, and the indemnity shall be in favor of the Owner, and 5.1(s).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keepNext w:val="true"/>
        <w:keepLines/>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t xml:space="preserve">Additional Assistance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by Contractor</w:t>
      </w:r>
      <w:r>
        <w:rPr>
          <w:sz w:val="24"/>
        </w:rPr>
        <w:t>:</w:t>
        <w:tab/>
        <w:t>To the extent that Owner requests assistance from Contractor that is outside the Scope of Work, Owner agrees that it shall pay Contractor through a Change Order for providing such assistance.  The terms of such Change Order shall be mutually agreed upon before work is commenced.</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Contract Price</w:t>
      </w:r>
      <w:r>
        <w:rPr>
          <w:sz w:val="24"/>
        </w:rPr>
        <w:tab/>
        <w:t xml:space="preserve">The firm price, exclusive of all Mexican import duties and Mexican taxes other than corporate income and employee social taxes, for the Scope of Work is US </w:t>
      </w:r>
      <w:r>
        <w:rPr>
          <w:b/>
          <w:sz w:val="24"/>
        </w:rPr>
        <w:t>[$190,000,000.00]</w:t>
      </w:r>
      <w:r>
        <w:rPr>
          <w:sz w:val="24"/>
        </w:rPr>
        <w:t xml:space="preserve"> (the “Contract Price”).  The Contract Price is firm and not subject to escalation, except for delays in the Commercial Operations Date not caused by Contractor.  Any escalation for delay in Commercial Operations Date not caused by Contractor will be negotiated based on then current conditions.  The EPC Contract shall include an option whereby the Owner can move the plant site to Nacozari (the “Nacozari Option”).  If Owner exercises the Nacozari Option the reduction in EPC Price shall be </w:t>
      </w:r>
      <w:r>
        <w:rPr>
          <w:b/>
          <w:sz w:val="24"/>
        </w:rPr>
        <w:t>[$??,???,???.??]</w:t>
      </w:r>
      <w:r>
        <w:rPr>
          <w:sz w:val="24"/>
        </w:rPr>
        <w: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b/>
          <w:sz w:val="24"/>
        </w:rPr>
      </w:pPr>
      <w:r>
        <w:rPr>
          <w:sz w:val="24"/>
          <w:u w:val="single"/>
        </w:rPr>
        <w:t>Performance Guarantees</w:t>
      </w:r>
      <w:r>
        <w:rPr>
          <w:sz w:val="24"/>
        </w:rPr>
        <w:t>:</w:t>
        <w:tab/>
        <w:t>The Contractor shall cause the Plant to achieve the following performance guarantees: (i) a Net Capacity as corrected to Summer Design conditions determined by the Performance Tests (the “Demonstrated Net Capacity”) equal to or greater than (A) </w:t>
      </w:r>
      <w:r>
        <w:rPr>
          <w:b/>
          <w:sz w:val="24"/>
        </w:rPr>
        <w:t>[???.??]</w:t>
      </w:r>
      <w:r>
        <w:rPr>
          <w:sz w:val="24"/>
        </w:rPr>
        <w:t xml:space="preserve"> MW (if operating on Alternate Fuel) and (B) </w:t>
      </w:r>
      <w:r>
        <w:rPr>
          <w:b/>
          <w:sz w:val="24"/>
        </w:rPr>
        <w:t>[???.??]</w:t>
      </w:r>
      <w:r>
        <w:rPr>
          <w:sz w:val="24"/>
        </w:rPr>
        <w:t xml:space="preserve"> MW (if operating on Base Fuel) (in each case, the “Guaranteed Net Capacity” on such fuel) and (ii) a Weighted Heat Rate (defined as the Average Weighted Net Unit Thermal Consumption in Section 1.6 of the Bidding Guidelines and calculated on an LHV basis) as determined by the Performance Tests (the “Demonstrated Heat Rate”) equal to or less than (A) </w:t>
      </w:r>
      <w:r>
        <w:rPr>
          <w:b/>
          <w:sz w:val="24"/>
        </w:rPr>
        <w:t>[6,???]</w:t>
      </w:r>
      <w:r>
        <w:rPr>
          <w:sz w:val="24"/>
        </w:rPr>
        <w:t xml:space="preserve"> Kj/kWh (if operating on Alternate Fuel) and (B) </w:t>
      </w:r>
      <w:r>
        <w:rPr>
          <w:b/>
          <w:sz w:val="24"/>
        </w:rPr>
        <w:t>[6,???]</w:t>
      </w:r>
      <w:r>
        <w:rPr>
          <w:sz w:val="24"/>
        </w:rPr>
        <w:t xml:space="preserve"> Kj/kWh (if operating on Base Fuel) (in each case, the “Guaranteed Heat Rate” on such fuel).</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b/>
          <w:sz w:val="24"/>
          <w:u w:val="single"/>
        </w:rPr>
      </w:pPr>
      <w:r>
        <w:rPr>
          <w:b/>
          <w:sz w:val="24"/>
          <w:u w:val="single"/>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Testing</w:t>
      </w:r>
      <w:r>
        <w:rPr>
          <w:sz w:val="24"/>
        </w:rPr>
        <w:t>:</w:t>
        <w:tab/>
        <w:t xml:space="preserve">The Contractor shall be obligated to insure that the Start-up Tests and Performance Tests for the Project are conducted in accordance with, and shall meet or exceed the requirements of, Article 7 of the CFE PPA and the applicable article in the GM PPA.  The Owner shall be responsible for supplying qualified, trained operators, the Base Fuel and Alternate Fuel, and other utilities for the tests.  In the event of any interruption in the tests not attributable to the Contractor or any of its subcontractors, the Contractor may request a Change Order with applicable cost and schedule adjustments.  In addition to the foregoing, the Contractor shall perform the tests specified in the Scope of Work and a fourteen consecutive day reliability test (the “Reliability Test”) and (subject to an appropriate Change Order) any other test that may be reasonably required by the lenders.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CFE Guaranteed Net Capacity</w:t>
      </w:r>
      <w:r>
        <w:rPr>
          <w:sz w:val="24"/>
        </w:rPr>
        <w:t>:</w:t>
        <w:tab/>
        <w:t xml:space="preserve">The Owner’s guarantees to CFE under the CFE PPA, which  consist of a Demonstrated Net Capacity, under Summer Design Conditions, equal to or greater than </w:t>
      </w:r>
      <w:r>
        <w:rPr>
          <w:b/>
          <w:sz w:val="24"/>
        </w:rPr>
        <w:t>[???.00]</w:t>
      </w:r>
      <w:r>
        <w:rPr>
          <w:sz w:val="24"/>
        </w:rPr>
        <w:t xml:space="preserve"> MW (if operating on Alternate Fuel) and </w:t>
      </w:r>
      <w:r>
        <w:rPr>
          <w:b/>
          <w:sz w:val="24"/>
        </w:rPr>
        <w:t>[???.??]</w:t>
      </w:r>
      <w:r>
        <w:rPr>
          <w:sz w:val="24"/>
        </w:rPr>
        <w:t xml:space="preserve"> MW (if operating on Base Fuel) (in each case, the “CFE Guaranteed Net Capacity” for such fuel).</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Provisional Acceptance</w:t>
      </w:r>
      <w:r>
        <w:rPr>
          <w:sz w:val="24"/>
        </w:rPr>
        <w:t>:</w:t>
        <w:tab/>
        <w:t xml:space="preserve">As soon as practicable, but not longer than five days, after the Contractor notifies the Owner that the Project is mechanically and substantially complete, other than punchlist items, the Performance Tests shall be conducted in accordance with the PPA.  If the Performance Tests demonstrate that the Plant (i) meets or exceeds a Demonstrated Net Capacity of 97.5% of the Guaranteed Net Capacity (i.e., </w:t>
      </w:r>
      <w:r>
        <w:rPr>
          <w:b/>
          <w:sz w:val="24"/>
        </w:rPr>
        <w:t>[???.??]</w:t>
      </w:r>
      <w:r>
        <w:rPr>
          <w:sz w:val="24"/>
        </w:rPr>
        <w:t xml:space="preserve"> MW on Base Fuel and </w:t>
      </w:r>
      <w:r>
        <w:rPr>
          <w:b/>
          <w:sz w:val="24"/>
        </w:rPr>
        <w:t>[???.??]</w:t>
      </w:r>
      <w:r>
        <w:rPr>
          <w:sz w:val="24"/>
        </w:rPr>
        <w:t xml:space="preserve"> MW on Alternate Fuel); (ii) has a Demonstrated Heat Rate of not more than 102.5% of the Guaranteed Heat Rate (i.e., </w:t>
      </w:r>
      <w:r>
        <w:rPr>
          <w:b/>
          <w:sz w:val="24"/>
        </w:rPr>
        <w:t>[?,???.??]</w:t>
      </w:r>
      <w:r>
        <w:rPr>
          <w:sz w:val="24"/>
        </w:rPr>
        <w:t xml:space="preserve"> Kj/kWh on Base Fuel and </w:t>
      </w:r>
      <w:r>
        <w:rPr>
          <w:b/>
          <w:sz w:val="24"/>
        </w:rPr>
        <w:t>[?,???.??]</w:t>
      </w:r>
      <w:r>
        <w:rPr>
          <w:sz w:val="24"/>
        </w:rPr>
        <w:t xml:space="preserve"> Kj/kWh on Alternate Fuel); (iii) has emissions equal to or less than the levels as guaranteed, and (iv) the Reliability Test has been satisfactorily completed, then upon Contractor’s request, the Owner shall notify CFE that it is ready to proceed with initial Certification.  If on the date on which initial Certification is issued by CFE, the Plant produces 97.5% or more of the Guaranteed Net Output, than such date shall be referred to as the “Provisional Acceptance Date”.  On the Provisional Acceptance Date, the Owner will assume the care, custody and control of the Plant.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Re-Tests</w:t>
      </w:r>
      <w:r>
        <w:rPr>
          <w:sz w:val="24"/>
        </w:rPr>
        <w:t>:</w:t>
        <w:tab/>
        <w:t>If, on the Provisional Acceptance Date, the Demonstrated Net Capacity of 97.5%, on either Base Fuel or Alternate Fuel, is less than the Guaranteed Net Capacity on such fuel and/or the Demonstrated Heat Rate of 102.5%, on either Base Fuel or Alternate Fuel, is greater than the Guaranteed Heat Rate on such fuel, the Contractor shall be afforded reasonable and timely access to the Plant as requested from time to time to make corrections to the Plant.  The Contractor may provide reasonable notice to the Owner that it desires to re-perform the Performance Tests on any date within 365 days after initial Certification, in accordance with the procedures set forth in Section 8.2 of the CFE PPA, in order to demonstrate that the Demonstrated Net Capacity has increased and/or that the Demonstrated Heat Rate has decreased.  If on any date prior to the end of such 365 day period, (i) as a result of the reperformance of the Performance Tests, the Demonstrated Net Capacity is greater or equal to the Guaranteed Net Capacity and the Demonstrated Heat Rate is less than or equal to the Guaranteed Heat Rate, or (ii) the Contractor pays to the Owner any applicable Capacity Buydown Amount and any applicable Heat Rate Buydown Amount, then the date that CFE issues a revised Certification shall be referred to as the “Final Correction Date,” and in any other event, the 365</w:t>
      </w:r>
      <w:r>
        <w:rPr>
          <w:sz w:val="24"/>
          <w:vertAlign w:val="superscript"/>
        </w:rPr>
        <w:t>th</w:t>
      </w:r>
      <w:r>
        <w:rPr>
          <w:sz w:val="24"/>
        </w:rPr>
        <w:t xml:space="preserve"> day after initial Certification shall be referred to as the “Final Correction Date.”  The period from the Provisional Acceptance Date to the Final Correction Date is referred to as the “Cure Period.”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Liquidated Damages for</w:t>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t>Net Capacity on the</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Provisional Acceptance Date</w:t>
      </w:r>
      <w:r>
        <w:rPr>
          <w:sz w:val="24"/>
        </w:rPr>
        <w:t>:</w:t>
        <w:tab/>
        <w:t>If on the Provisional Acceptance Date, the Demonstrated Net Capacity on either Base Fuel or Alternate Fuel is below the CFE Guaranteed Net Capacity on such fuel, the Contractor shall pay to the Owner, as liquidated damages, the amount set forth in Item 3 of Attachment 1, with the payment being based on the fuel that has the greater differential between the Demonstrated Net Capacity and the CFE Guaranteed Net Capacity.</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t>Interim Liquidated Damages</w:t>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t>For Net Capacity and</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Heat Rate</w:t>
      </w:r>
      <w:r>
        <w:rPr>
          <w:sz w:val="24"/>
        </w:rPr>
        <w:t>:</w:t>
        <w:tab/>
        <w:t>During the Cure Period (or until payment of the Capacity Buydown Amount and/or Heat Rate Buydown Amount), the Contractor shall pay to the Owner, on a monthly basis, as liquidated damages for capacity shortfalls and/or excessive heat rate in accordance with Items 4 and 6 of Attachment 1, as applicable.</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t xml:space="preserve">Buydown Damages for </w:t>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t>Net Capacity and</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Heat Rate</w:t>
      </w:r>
      <w:r>
        <w:rPr>
          <w:sz w:val="24"/>
        </w:rPr>
        <w:t>:</w:t>
        <w:tab/>
        <w:t>If, on the Final Correction Date (or any date prior thereto that the Contractor may select), the Demonstrated Net Capacity on either Base Fuel or Alternate Fuel is less than the Guaranteed Net Capacity on such fuel, the Contractor shall pay the applicable Capacity Buydown Amount as shown in Item 5 of Attachment 1; provided, however, that the Interim Capacity Damages previously paid by Contractor shall be credited towards such Capacity Buydown Amount.  If, on the Final Correction Date, the Demonstrated Heat Rate on either Base Fuel or Alternate Fuel is greater than the Guaranteed Heat Rate on such fuel, Contractor shall pay the applicable Heat Rate Buydown Amount shown in Item 8 of Attachment 1; provided, however, that the Interim Heat Rate Damages previously paid by Contractor shall be credited towards such Heat Rate Buydown Amount.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Heading4"/>
        <w:widowControl/>
        <w:ind w:hanging="0" w:start="0"/>
        <w:rPr/>
      </w:pPr>
      <w:r>
        <w:rPr/>
        <w:t>Initial Testing on Alternate</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Fuel Only</w:t>
      </w:r>
      <w:r>
        <w:rPr>
          <w:sz w:val="24"/>
        </w:rPr>
        <w:tab/>
        <w:t>If the Performance Tests are initially performed only with Alternate Fuel, then the following provisions shall apply:</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3600" w:end="0"/>
        <w:jc w:val="both"/>
        <w:rPr>
          <w:sz w:val="24"/>
        </w:rPr>
      </w:pPr>
      <w:r>
        <w:rPr>
          <w:sz w:val="24"/>
        </w:rPr>
        <w:t>(i)</w:t>
        <w:tab/>
        <w:t>The determination of whether the Provisional Acceptance Date has occurred shall be evaluated solely on the basis of actual and guaranteed performance on Alternate Fuel.</w:t>
      </w:r>
    </w:p>
    <w:p>
      <w:pPr>
        <w:pStyle w:val="Normal"/>
        <w:widowControl/>
        <w:tabs>
          <w:tab w:val="clear" w:pos="720"/>
          <w:tab w:val="left" w:pos="-1080" w:leader="none"/>
          <w:tab w:val="left" w:pos="-720" w:leader="none"/>
          <w:tab w:val="left" w:pos="0" w:leader="none"/>
          <w:tab w:val="left" w:pos="3600" w:leader="none"/>
          <w:tab w:val="left" w:pos="43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3600" w:end="0"/>
        <w:jc w:val="both"/>
        <w:rPr>
          <w:i/>
          <w:i/>
          <w:sz w:val="24"/>
        </w:rPr>
      </w:pPr>
      <w:r>
        <w:rPr>
          <w:sz w:val="24"/>
        </w:rPr>
        <w:t>(ii)</w:t>
        <w:tab/>
        <w:t>The Interim Capacity Damages payable by the Contractor (until any re-performance of the Performance Tests on Base Fuel) shall be calculated using the value for the Interim Capacity Damages applicable to the situation where initial testing is performed with Alternate Fuel only shown in Attachment 1.</w:t>
      </w:r>
    </w:p>
    <w:p>
      <w:pPr>
        <w:pStyle w:val="Normal"/>
        <w:widowControl/>
        <w:tabs>
          <w:tab w:val="clear" w:pos="720"/>
          <w:tab w:val="left" w:pos="-1080" w:leader="none"/>
          <w:tab w:val="left" w:pos="-720" w:leader="none"/>
          <w:tab w:val="left" w:pos="0" w:leader="none"/>
          <w:tab w:val="left" w:pos="3600" w:leader="none"/>
          <w:tab w:val="left" w:pos="43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720" w:start="4320" w:end="0"/>
        <w:jc w:val="both"/>
        <w:rPr>
          <w:i/>
          <w:i/>
          <w:sz w:val="24"/>
        </w:rPr>
      </w:pPr>
      <w:r>
        <w:rPr>
          <w:i/>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3600" w:end="0"/>
        <w:jc w:val="both"/>
        <w:rPr/>
      </w:pPr>
      <w:r>
        <w:rPr>
          <w:sz w:val="24"/>
        </w:rPr>
        <w:t>(iii)</w:t>
        <w:tab/>
        <w:t>Upon reasonable notice from the Owner at any time thereafter, the Contractor shall re-perform the tests with Base Fuel as provided in Section 7.3(c) of the CFE PPA; provided that if the Contractor is notified of such re-performance after the 30</w:t>
      </w:r>
      <w:r>
        <w:rPr>
          <w:sz w:val="24"/>
          <w:vertAlign w:val="superscript"/>
        </w:rPr>
        <w:t>th</w:t>
      </w:r>
      <w:r>
        <w:rPr>
          <w:sz w:val="24"/>
        </w:rPr>
        <w:t xml:space="preserve"> day following the Provisional Acceptance Date, the Contractor may request a Change Order for any additional costs incurred as a result of the delay in the performance of the tests. In determining the Demonstrated Net Capacity and the Demonstrated Heat Rate on Base Fuel demonstrated through the re-performance of such Performance Tests, the results will be adjusted to reflect degradation of the Plant equipment from the date of Provisional Acceptance through the date of re-performance of the tests.</w:t>
      </w:r>
    </w:p>
    <w:p>
      <w:pPr>
        <w:pStyle w:val="Normal"/>
        <w:widowControl/>
        <w:tabs>
          <w:tab w:val="clear" w:pos="720"/>
          <w:tab w:val="left" w:pos="-1080" w:leader="none"/>
          <w:tab w:val="left" w:pos="-720" w:leader="none"/>
          <w:tab w:val="left" w:pos="0" w:leader="none"/>
          <w:tab w:val="left" w:pos="360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3600" w:end="0"/>
        <w:jc w:val="both"/>
        <w:rPr/>
      </w:pPr>
      <w:r>
        <w:rPr>
          <w:sz w:val="24"/>
        </w:rPr>
        <w:t>(iv)</w:t>
        <w:tab/>
        <w:t xml:space="preserve">If on the date Contractor re-performs the Performance Tests on Base Fuel, and the Demonstrated Net Capacity is 97.5% or more of the Guaranteed Net Capacity, and the Demonstrated Heat Rate is 102.5% or less of the Guaranteed Heat Rate, and the Project’s emissions on Base Fuel satisfy the requirements described above in the section on </w:t>
      </w:r>
      <w:r>
        <w:rPr>
          <w:sz w:val="24"/>
          <w:u w:val="single"/>
        </w:rPr>
        <w:t>Provisional Acceptance</w:t>
      </w:r>
      <w:r>
        <w:rPr>
          <w:sz w:val="24"/>
        </w:rPr>
        <w:t xml:space="preserve">, then for purposes of clause (v) below, then the date CFE issues a revised Certification such date shall be deemed to be the “Provisional Acceptance Date 2” with respect to Base Fuel. </w:t>
      </w:r>
    </w:p>
    <w:p>
      <w:pPr>
        <w:pStyle w:val="Normal"/>
        <w:widowControl/>
        <w:tabs>
          <w:tab w:val="clear" w:pos="720"/>
          <w:tab w:val="left" w:pos="-1080" w:leader="none"/>
          <w:tab w:val="left" w:pos="-720" w:leader="none"/>
          <w:tab w:val="left" w:pos="0" w:leader="none"/>
          <w:tab w:val="left" w:pos="3600" w:leader="none"/>
          <w:tab w:val="left" w:pos="43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3600" w:end="0"/>
        <w:jc w:val="both"/>
        <w:rPr>
          <w:i/>
          <w:i/>
          <w:sz w:val="24"/>
        </w:rPr>
      </w:pPr>
      <w:r>
        <w:rPr>
          <w:sz w:val="24"/>
        </w:rPr>
        <w:t>(v)</w:t>
        <w:tab/>
        <w:t>If the Provisional Acceptance Date 2 occurs within one year of the Provisional Acceptance Date, then if on the Provisional Acceptance Date 2 with respect to Base Fuel, the Demonstrated Net Capacity, as adjusted for degradation, on Base Fuel is less than the CFE Guaranteed Net Capacity on Base Fuel, and such differential is greater than the differential was between the Demonstrated Net Capacity, as degraded, and the CFE Guaranteed Net Capacity on Alternate Fuel, as degraded, then the Contractor shall pay additional damages in accordance with the values set forth in Attachment 1 for any additional differential between the degraded Guaranteed Net Capacity and the actual Demonstrated Net Capacity.</w:t>
      </w:r>
    </w:p>
    <w:p>
      <w:pPr>
        <w:pStyle w:val="Normal"/>
        <w:widowControl/>
        <w:tabs>
          <w:tab w:val="clear" w:pos="720"/>
          <w:tab w:val="left" w:pos="-1080" w:leader="none"/>
          <w:tab w:val="left" w:pos="-720" w:leader="none"/>
          <w:tab w:val="left" w:pos="0" w:leader="none"/>
          <w:tab w:val="left" w:pos="3600" w:leader="none"/>
          <w:tab w:val="left" w:pos="43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i/>
          <w:i/>
          <w:sz w:val="24"/>
        </w:rPr>
      </w:pPr>
      <w:r>
        <w:rPr>
          <w:i/>
          <w:sz w:val="24"/>
        </w:rPr>
      </w:r>
    </w:p>
    <w:p>
      <w:pPr>
        <w:pStyle w:val="Normal"/>
        <w:widowControl/>
        <w:tabs>
          <w:tab w:val="clear" w:pos="720"/>
          <w:tab w:val="left" w:pos="-1080" w:leader="none"/>
          <w:tab w:val="left" w:pos="-720" w:leader="none"/>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3600" w:end="0"/>
        <w:jc w:val="both"/>
        <w:rPr/>
      </w:pPr>
      <w:r>
        <w:rPr>
          <w:sz w:val="24"/>
        </w:rPr>
        <w:t>(vi)</w:t>
        <w:tab/>
        <w:t xml:space="preserve">If the Contractor retests and the Demonstrated Net Capacity and Heat Rate are worse than the degraded Guaranteed Net Capacity and degraded Heat Rate, then the sections on </w:t>
      </w:r>
      <w:r>
        <w:rPr>
          <w:sz w:val="24"/>
          <w:u w:val="single"/>
        </w:rPr>
        <w:t>Interim Liquidated Damages for Net Capacity and Heat Rate</w:t>
      </w:r>
      <w:r>
        <w:rPr>
          <w:sz w:val="24"/>
        </w:rPr>
        <w:t xml:space="preserve"> and </w:t>
      </w:r>
      <w:r>
        <w:rPr>
          <w:sz w:val="24"/>
          <w:u w:val="single"/>
        </w:rPr>
        <w:t>Buydown Damages for Net Capacity and Heat Rate</w:t>
      </w:r>
      <w:r>
        <w:rPr>
          <w:sz w:val="24"/>
        </w:rPr>
        <w:t xml:space="preserve"> with respect to Base Fuel, commencing on the deemed Provisional Acceptance Date (as described in clause (iv) above) with respect to Base Fuel shall apply to the difference between the degraded Guaranteed Net Capacity and actual net capacity, and the degraded Heat Rate and the actual heat rate.</w:t>
      </w:r>
    </w:p>
    <w:p>
      <w:pPr>
        <w:pStyle w:val="Normal"/>
        <w:widowControl/>
        <w:tabs>
          <w:tab w:val="clear" w:pos="720"/>
          <w:tab w:val="left" w:pos="-1080" w:leader="none"/>
          <w:tab w:val="left" w:pos="-720" w:leader="none"/>
          <w:tab w:val="left" w:pos="0" w:leader="none"/>
          <w:tab w:val="left" w:pos="432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3600" w:end="0"/>
        <w:jc w:val="both"/>
        <w:rPr>
          <w:sz w:val="24"/>
        </w:rPr>
      </w:pPr>
      <w:r>
        <w:rPr>
          <w:sz w:val="24"/>
        </w:rPr>
      </w:r>
    </w:p>
    <w:p>
      <w:pPr>
        <w:pStyle w:val="Normal"/>
        <w:keepLines/>
        <w:ind w:hanging="3600" w:start="3600" w:end="0"/>
        <w:jc w:val="both"/>
        <w:rPr/>
      </w:pPr>
      <w:r>
        <w:rPr>
          <w:sz w:val="24"/>
          <w:u w:val="single"/>
        </w:rPr>
        <w:t>Liquidated Damages Limitations:</w:t>
      </w:r>
      <w:r>
        <w:rPr>
          <w:sz w:val="24"/>
        </w:rPr>
        <w:tab/>
        <w:t>The liquidated damages payable by the Contractor shall be subject to the sub-caps and cap set forth in Item 1 of Attachment 1, as applicable.</w:t>
      </w:r>
    </w:p>
    <w:p>
      <w:pPr>
        <w:pStyle w:val="Normal"/>
        <w:ind w:hanging="3600" w:start="3600" w:end="0"/>
        <w:jc w:val="both"/>
        <w:rPr>
          <w:sz w:val="24"/>
        </w:rPr>
      </w:pPr>
      <w:r>
        <w:rPr>
          <w:sz w:val="24"/>
        </w:rPr>
      </w:r>
    </w:p>
    <w:p>
      <w:pPr>
        <w:pStyle w:val="Normal"/>
        <w:keepLines/>
        <w:ind w:hanging="3600" w:start="3600" w:end="0"/>
        <w:jc w:val="both"/>
        <w:rPr>
          <w:sz w:val="24"/>
          <w:u w:val="single"/>
        </w:rPr>
      </w:pPr>
      <w:r>
        <w:rPr>
          <w:sz w:val="24"/>
          <w:u w:val="single"/>
        </w:rPr>
        <w:t>Letter of Credit; Parent</w:t>
      </w:r>
    </w:p>
    <w:p>
      <w:pPr>
        <w:pStyle w:val="Normal"/>
        <w:keepLines/>
        <w:ind w:hanging="3600" w:start="3600" w:end="0"/>
        <w:jc w:val="both"/>
        <w:rPr/>
      </w:pPr>
      <w:r>
        <w:rPr>
          <w:sz w:val="24"/>
          <w:u w:val="single"/>
        </w:rPr>
        <w:t>Guarantees; Surety Bond</w:t>
      </w:r>
      <w:r>
        <w:rPr>
          <w:sz w:val="24"/>
        </w:rPr>
        <w:t>:</w:t>
        <w:tab/>
        <w:t>If required by the Owner, the Contractor shall either secure a parent guarantee or mutually agreeable letter of credit or surety bond to guarantee the Contractor’s obligations under the EPC Contract.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Changes</w:t>
      </w:r>
      <w:r>
        <w:rPr>
          <w:sz w:val="24"/>
        </w:rPr>
        <w:t>:</w:t>
        <w:tab/>
        <w:t>The Owner shall have the right from time to time to increase, reduce, or change the Scope of Work (a “Change”) by issuing a change order to the Contractor (a “Change Order”).  The Contractor and the Owner will use reasonable efforts to agree on the terms of the Change Orders promptly and before the Contractor proceeds with the Change; provided, however, if it is necessary as determined by Owner for the Contractor to proceed with the work described in the Change Order prior to reaching final agreement on the Change Order to avoid adverse impact on the Schedule, the Contractor shall so proceed, and be reimbursed for all reasonable substantiated costs related to such Change, as defined and/or limited in the EPC Contract.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Owner Obligations</w:t>
      </w:r>
      <w:r>
        <w:rPr>
          <w:sz w:val="24"/>
        </w:rPr>
        <w:t>:</w:t>
        <w:tab/>
        <w:t>The Owner shall have, in addition to the other obligations of the Owner under the EPC Contract, the following obligations to the Contractor (the “Owner Obligations”): (a) to obtain or cause to be obtained the Permits that are the responsibility of the Owner under the CFE PPA, other than those to be obtained by Contractor hereunder, (b) to assist CFE to obtain the Permits  that are the responsibility of CFE under the CFE PPA, in each case to the extent required to be obtained prior to completion of construction of the Project and in each case, on a timely basis such that the Work can proceed in accordance with the Schedule, (c) to cause the supply of Base Fuel or Alternate Fuel to conform to the quality specifications in the Commission-Producer Fuel Agreement and the Project Specifications to the Project as necessary in sufficient quantity (based on the requirements of the Contractor) for testing, commissioning, and startup of the Project, (d) to provide adequate utilities, including water, temporary power, waste disposal, construction and testing power to the boundary of the Project, (e) to provide the Contractor and its subcontractors, suppliers and vendors Site ingress, egress and safety security of Site, and (f) to provide qualified operating personnel, in accordance with the schedule for training, testing, startup, operation and warranty.</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Standard of Performance</w:t>
      </w:r>
      <w:r>
        <w:rPr>
          <w:sz w:val="24"/>
        </w:rPr>
        <w:t>:</w:t>
        <w:tab/>
        <w:t xml:space="preserve">All Work performed by the Contractor under the EPC Contract shall be performed according to the Owner’s Proposal (including the standard of performance set forth therein), the Bidding Guidelines and the Bid Specifications in a good and workmanlike manner, in compliance with the requirements of the CFE PPA, the GM PPA, published recommendations of the original equipment manufacturers, and prudent industry practices, in compliance with applicable Laws, the instruments granting the Real Estate Rights, and the environmental, safety, and health guidelines or standards applicable in Mexico or issued by the Export-Import Bank of the United States or the World Bank, whichever are more stringent and in compliance with Permits; provided, however, if the requirements of such Permits require Contractor to change its normal practices and procedures for performing the Scope of Work, the Owner and Contractor shall discuss the need for a Change Order in accordance with the Section on </w:t>
      </w:r>
      <w:r>
        <w:rPr>
          <w:sz w:val="24"/>
          <w:u w:val="single"/>
        </w:rPr>
        <w:t>Changes</w:t>
      </w:r>
      <w:r>
        <w:rPr>
          <w:sz w:val="24"/>
        </w:rPr>
        <w: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w:t>
      </w:r>
      <w:r>
        <w:rPr>
          <w:sz w:val="24"/>
        </w:rPr>
        <w:t>:</w:t>
        <w:tab/>
        <w:t xml:space="preserve">The Contractor shall commence the Work upon the Owner’s issuance to the Contractor of a notice to proceed such notice shall not be issued later than </w:t>
      </w:r>
      <w:r>
        <w:rPr>
          <w:b/>
          <w:sz w:val="24"/>
        </w:rPr>
        <w:t>[May 1, 2000]</w:t>
      </w:r>
      <w:r>
        <w:rPr>
          <w:sz w:val="24"/>
        </w:rPr>
        <w:t xml:space="preserve"> (the “Notice to Proceed”) and shall achieve the Provisional Acceptance Date by </w:t>
      </w:r>
      <w:r>
        <w:rPr>
          <w:b/>
          <w:sz w:val="24"/>
        </w:rPr>
        <w:t>April 1, 2002</w:t>
      </w:r>
      <w:r>
        <w:rPr>
          <w:sz w:val="24"/>
        </w:rPr>
        <w:t xml:space="preserve">, as set forth in the Owner’s Proposal (the “Schedule”); provided that the Contractor shall be entitled to an appropriate adjustment to the Schedule and may be entitled to an adjustment to the Contract Price through the issuance of a Change Order if the Notice to Proceed is issued later than </w:t>
      </w:r>
      <w:r>
        <w:rPr>
          <w:b/>
          <w:sz w:val="24"/>
        </w:rPr>
        <w:t>[July 1, 2000]</w:t>
      </w:r>
      <w:r>
        <w:rPr>
          <w:sz w:val="24"/>
        </w:rPr>
        <w:t xml:space="preserve"> and the Contractor can demonstrate it has incurred additional costs.  The EPC Contract will provide for the Schedule to be developed in more detail.  The Owner shall provide the Contractor with a limited notice to proceed for up to US$1,000,000 of engineering not less than six weeks prior to the Notice to Proceed and a further limited notice to proceed for up to US$250,000 of subsurface investigation at the Site not less than four weeks prior to the Notice to Proceed.</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Termination or Delay Prior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to Commencement</w:t>
      </w:r>
      <w:r>
        <w:rPr>
          <w:sz w:val="24"/>
        </w:rPr>
        <w:t>:</w:t>
        <w:tab/>
        <w:t>In the event that the Owner terminates the EPC Contract prior to commencement of the Work, the Owner shall pay to the Contractor the reasonable costs incurred by the Contractor after the execution of the EPC Contract in connection with the Work.  The Critical Event Dates also may be postponed by the Owner pursuant to a Change Order.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Failure to Maintain Time Schedule;</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Acceleration of Time Schedule</w:t>
      </w:r>
      <w:r>
        <w:rPr>
          <w:sz w:val="24"/>
        </w:rPr>
        <w:t>:</w:t>
        <w:tab/>
        <w:t>If the Contractor falls behind in the progress of construction, except as a result of Force Majeure or an Adjustment of Time Schedule, such that any of the Critical Event Dates set forth in the Schedule for the completion of any Critical Event are missed or become reasonably likely to be missed, the Contractor shall take reasonable actions, including, without limitation, working overtime, weekends, or holidays or adding additional personnel, equipment or work spreads, at no cost to the Owner, to meet the Critical Event Dates.  The Owner shall also have the right to request the Contractor to accelerate the Schedule pursuant to a Change Order.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Liquidated Damages for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Delay:</w:t>
      </w:r>
      <w:r>
        <w:rPr>
          <w:sz w:val="24"/>
        </w:rPr>
        <w:tab/>
        <w:t>The Contractor shall achieve the Critical Event Dates in accordance with the Schedule and shall achieve the Provisional Acceptance Date on or before the date 30 days prior to the Scheduled Commercial Operation Date of the Project (the “Scheduled Provisional Acceptance Date”).  Upon failure to timely achieve the Critical Event Dates or the Provisional Acceptance Date, the Contractor shall pay the delay damages set forth in Item 8 of Attachment 1.</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Adjustment of Time Schedule</w:t>
      </w:r>
      <w:r>
        <w:rPr>
          <w:sz w:val="24"/>
        </w:rPr>
        <w:t>:</w:t>
        <w:tab/>
        <w:t>If the Contractor is delayed as a result of Force Majeure, any delay attributable to the Owner or CFE or their respective contractors, the Schedule shall be adjusted to account for such delay and the Contract Price shall be adjusted to account for any increased costs through a Change Order.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Progress and Milestone Payments</w:t>
      </w:r>
      <w:r>
        <w:rPr>
          <w:sz w:val="24"/>
        </w:rPr>
        <w:t>:</w:t>
        <w:tab/>
        <w:t>Subject to the retainage described below, the Owner shall pay the Contractor for the performance of the Work relating to the supply of Main Equipment and engineering (each as approved by the Owner) on a milestone basis to be agreed by the parties and for the performance of all other matters comprising the Work on a percentage-of-completion basis, as approved by the Owner, based on an agreed-upon allocation of the Contract Price to the various components of the Work to be included in the definitive EPC Contract, which allocation the parties will use reasonable efforts to agree upon prior to execution of the EPC Contract.  All payments shall be made in U.S. dollars in immediately available funds to an account or accounts designated by the Contractor.  Agreed upon documentation will be provided to Owner for all such payments to Contractor.  In the event of any disputes over amounts invoiced, the Owner shall promptly advise Contractor of the disputed amounts and pay the undisputed amounts. The EPC Contract will contain provisions entitling the Owner to hold back all or a portion of any payment in response to specified circumstances, as further defined in the EPC Contract.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u w:val="single"/>
        </w:rPr>
        <w:t>Retainage</w:t>
      </w:r>
      <w:r>
        <w:rPr>
          <w:sz w:val="24"/>
        </w:rPr>
        <w:t>:</w:t>
        <w:tab/>
        <w:t xml:space="preserve">With respect to each progress payment made under the EPC Contract, Owner shall retain 10% of all amounts billed by Contractor as a retainage hereunder.  The retainage held by Owner may be used to offset against any amounts due from Contractor under and in accordance with the EPC Contract.  The retainage (less an amount equal to 150% of the estimated cost of any punchlist items (the “Remaining Retainage”)) shall be paid to Contractor within fifteen (15) days after the later of the following: (i) the Provisional Acceptance Date, (ii) the date a waiver of liens has been delivered by the Contractor and all Main Subcontractors and Contractor has bonded around all liens that may be filed by other subcontractors and equipment suppliers, and (iii) the date Contractor has successfully completed the reliability test described in the section on </w:t>
      </w:r>
      <w:r>
        <w:rPr>
          <w:sz w:val="24"/>
          <w:u w:val="single"/>
        </w:rPr>
        <w:t>Testing</w:t>
      </w:r>
      <w:r>
        <w:rPr>
          <w:sz w:val="24"/>
        </w:rPr>
        <w:t xml:space="preserve"> above.  The Remaining Retainage shall be paid within fifteen (15) days after all punchlist items have been completed.</w:t>
      </w:r>
      <w:r>
        <w:rPr>
          <w:i/>
          <w:sz w:val="24"/>
        </w:rPr>
        <w:t xml:space="preserve">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Late Payment Interest</w:t>
      </w:r>
      <w:r>
        <w:rPr>
          <w:sz w:val="24"/>
        </w:rPr>
        <w:t>:</w:t>
        <w:tab/>
        <w:t xml:space="preserve">Late payments shall bear interest at the New York Chase Bank prime rate plus 2% at the date the payment was due.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Basic and Detailed Engineering</w:t>
      </w:r>
      <w:r>
        <w:rPr>
          <w:sz w:val="24"/>
        </w:rPr>
        <w:t>:</w:t>
        <w:tab/>
        <w:t>The Contractor shall perform all basic and detailed design and engineering of the Project such that, when constructed, the Project shall comply with the Owner’s Proposal, the Bidding Guidelines and the Bid Specifications  and shall meet the Performance Tests to be performed on the Project.  The Contractor shall prepare all mutually agreed upon detailed drawings and specifications for timely review and approval by the Owner and shall thereafter perform all construction in accordance with such detailed drawings and specifications.  The Owner’s review of such design and engineering shall not impair its rights or affect the Contractor’s liabilities with respect to defects in such design and engineering.  Some information to be provided to Owner is of a proprietary or confidential nature, and Owner shall be entitled to use such information as Owner may elect.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Procurement</w:t>
      </w:r>
      <w:r>
        <w:rPr>
          <w:sz w:val="24"/>
        </w:rPr>
        <w:t>:</w:t>
        <w:tab/>
        <w:t xml:space="preserve">The Contractor shall procure all equipment and materials to be incorporated into the Project on the Owner’s behalf.  The Contractor shall use its normal, customary and quality materials which shall be new, unused and shall meet or exceed the standards of quality generally accepted and prevailing in the power generation industry at the time of manufacture.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t>Defects and Equipment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Guarantees</w:t>
      </w:r>
      <w:r>
        <w:rPr>
          <w:sz w:val="24"/>
        </w:rPr>
        <w:t>:</w:t>
        <w:tab/>
        <w:t>The Contractor shall guarantee that the Project shall be free from Defects for a period of one year following the Provisional Acceptance Date. “Defects” includes any failure of the Project to comply with the Owner’s Proposal, the Bidding Guidelines, the Bid Specifications, the CFE PPA or the GM PPA, any construction or engineering (i.e., non</w:t>
        <w:noBreakHyphen/>
        <w:t>operational) defect that results in the failure of the Project to achieve a Demonstrated Net Capacity equal to or greater than the Guaranteed Net Capacity, or any failure of the Project to pass the other required tests (except to the extent that liquidated damages have been paid for the same).  The Owner shall notify the Contractor of any Defect identified by the Owner and shall make the applicable part of the Project reasonably available to the Contractor for the correction of such Defect.  Any defective work corrected during the warranty period shall itself be warranted and guaranteed through the longer of (i) the date that is 12 months after the correction of such defective work and (b) the date that is 180 days after the end of the warranty period.  The Contractor shall reasonably demonstrate that the performance of the Project has not been adversely affected by any work performed to correct a Defect, including, if appropriate, the re-performance of any Performance Tests or other tests.  To the extent that any manufacturers’ or suppliers’ warranties extend beyond such one-year warranty period, the Contractor shall assign such warranties to the Owner.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Permits; Land Rights</w:t>
      </w:r>
      <w:r>
        <w:rPr>
          <w:sz w:val="24"/>
        </w:rPr>
        <w:t>:</w:t>
        <w:tab/>
        <w:t>Other than permits specified in Attachment 4 to be the responsibility of CFE or the Owner, the Contractor shall obtain in a timely fashion (including, to the extent required, prior to the commencement of construction) all permits required for the engineering, procurement, and construction of the Project.  The Contractor shall, on a cost reimbursable basis plus normal overhead, use reasonable efforts to assist CFE and the Owner in obtaining any Permits that are to be obtained and paid for by CFE and the Owner and shall provide access to its documents related to the Project as reasonably requested. The Owner shall obtain the Real Estate Rights A and provide access thereto to the Contractor.  The Contractor shall obtain any Real Estate Rights B.  The Contractor shall inspect the Site and satisfy itself as to all matters affecting the total cost of the Work relating to the Site.  The Owner shall have liability with respect to the fitness of the Site for the performance of the Work until Contractor has inspected the Site.</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Environmental; Archeological</w:t>
      </w:r>
      <w:r>
        <w:rPr>
          <w:sz w:val="24"/>
        </w:rPr>
        <w:t>:</w:t>
        <w:tab/>
        <w:t>In the event that the Contractor or any of its subcontractors, agents, employees, licensees or invitees discovers any hazardous material or toxic waste or any matter which could be of archeological interest to Mexico, the Contractor shall immediately notify the Owner.  If, as a consequence of any archeological study or the designation of the Site as a protected environmental area, any Mexican governmental authority orders a change in route or prohibits or limits the construction of the Project or the Contractor assists the CFE in removing or disposing of preexisting hazardous waste or toxic materials on the Site, the Owner will pay the Contractor direct, reasonable and documented expenses incurred by Contractor, and the Schedule shall be adjusted, as determined under a Change Order, in accordance with Sections 6.2 and 6.3 of the CFE PPA.  The parties acknowledge that the CFE will be responsible for the removal, remediation, disposal or treatment of any hazardous material or toxic waste that exists on the Site other than hazardous materials or toxic waste brought onto the Site or caused by any of Contractor or any of its subcontractors, agents, employees, or licensees, which shall be the responsibility of the Contractor.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Personnel</w:t>
      </w:r>
      <w:r>
        <w:rPr>
          <w:sz w:val="24"/>
        </w:rPr>
        <w:t>:</w:t>
        <w:tab/>
        <w:t xml:space="preserve">The Contractor shall provide all personnel necessary for the execution of the Work.  The Contractor will provide the Owner with resumes of certain key personnel of Contractor and </w:t>
      </w:r>
      <w:r>
        <w:rPr>
          <w:b/>
          <w:sz w:val="24"/>
        </w:rPr>
        <w:t>General Electric, Inc.</w:t>
      </w:r>
      <w:r>
        <w:rPr>
          <w:sz w:val="24"/>
        </w:rPr>
        <w:t>. (“Major Subcontractor”).  Agreed-upon key personnel of the Contractor and Major Subcontractor shall be dedicated to the Work (or designated components of the Work) and shall not be changed, removed, or assigned to other projects without the consent of the Owner, which consent shall not be unreasonably withheld or delayed.  Owner shall have the right to require removal of personnel for cause.  The Contractor shall be responsible for the payment of all salaries and benefits and for providing all support services necessary for its personnel and shall be responsible for obtaining all visas and work permits necessary for such personnel to perform the Work.  The personnel of the Contractor and its subcontractors, including Major Subcontractor, shall, if required by applicable law, be licensed in the performance of their duties.</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Main Equipment</w:t>
      </w:r>
      <w:r>
        <w:rPr>
          <w:sz w:val="24"/>
        </w:rPr>
        <w:t>:</w:t>
        <w:tab/>
        <w:t>As used herein, “Main Equipment” shall mean the two gas turbine generators, steam turbine, power plant substation, condenser, two heat recovery steam generators, control system, main transformers and pipe to be included in the natural gas pipeline.</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Subcontractors and</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Equipment Suppliers</w:t>
      </w:r>
      <w:r>
        <w:rPr>
          <w:sz w:val="24"/>
        </w:rPr>
        <w:t>:</w:t>
        <w:tab/>
        <w:t xml:space="preserve">Except as set forth in the EPC Contract, the Owner shall have the right to approve all subcontractors and suppliers of the Main Equipment to the Contractor and all other subcontractors and suppliers whose individual supply or services will exceed $2,000,000 (collectively, the “Main Subcontractors”), which approval shall be not be unreasonably withheld or delayed. If the EPC Contract is terminated for any reason, to the extent possible, the Contractor shall, at the request of the Owner, assign to the Owner or its designee the contracts with all such Main Subcontractors.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Punchlist</w:t>
      </w:r>
      <w:r>
        <w:rPr>
          <w:sz w:val="24"/>
        </w:rPr>
        <w:t>:</w:t>
        <w:tab/>
        <w:t>Within fifteen (15) days following the later of the Provisional Acceptance Date and the date the reliability test has been successfully completed, the Owner and the Contractor shall conduct a mutual inspection of the Project and prepare a punchlist of items remaining to be completed or having defects to be corrected, and within 90 days thereafter, Contractor shall complete all punchlist items, correct all identified defects in the Project, and provide all mutually agreed documentation.  The Owner shall retain the Remaining Retainage until all such items are completed or corrected.</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Documentation</w:t>
      </w:r>
      <w:r>
        <w:rPr>
          <w:sz w:val="24"/>
        </w:rPr>
        <w:t>:</w:t>
        <w:tab/>
        <w:t>The EPC Contract will contain a detailed description of documentation that the Contractor will be required to deliver to the Owner relating to the Project, including, without limitation, as-built drawings, other engineering and design documentation, warranty documentation and other vendor-supplied information, and project procedure documentation.  Drawings and documentation created by Contractor will be provided in electronic and “hard copy” form.  Reasonable efforts will be made to provide Owner vender documentation in both electronic and “hard copy” form.</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Taxes and Import Duties</w:t>
      </w:r>
      <w:r>
        <w:rPr>
          <w:sz w:val="24"/>
        </w:rPr>
        <w:t>:</w:t>
        <w:tab/>
        <w:t>The Owner shall be obligated to pay (i) all transactional taxes, levies, and assessments of any kind arising out of the performance of the Work, including, without limitation, all import duties arising from the importation of materials, equipment, parts and supplies to be incorporated into the Project and the importation of all equipment and consumables of the Contractor into Mexico, (ii) any and all sales and/or value added taxes, and (iii) any stamp taxes or similar taxes arising from the execution or performance of the EPC Contract; provided, however, that the Contractor shall be obligated to pay all taxes and/or contributions required by applicable law as a result of the payment of salaries to any employees of the Contractor or any subcontractor and its own income taxes.  Each of the Owner and the Contractor shall use reasonable efforts to minimize the taxes payable by the parties with respect to the Work, including, without limitation, through dividing the EPC Contract scope between onshore and offshore companies, provided that any such division in scope will be structured such that there are no gaps in scope coverage and the guaranties of the Contractor (and, if applicable, its parent) cover fully the entire Project scope as if there were a single EPC Contract, and through causing the Owner to be importer of record.  The Contractor shall be responsible for causing all items imported in connection with the Work to clear customs.</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Liens</w:t>
      </w:r>
      <w:r>
        <w:rPr>
          <w:sz w:val="24"/>
        </w:rPr>
        <w:t>:</w:t>
        <w:tab/>
        <w:t>The EPC Contract will contain customary provisions obligating the Contractor to (a) keep the Project and all materials and equipment to be incorporated into the Project free of all liens, security interests, claims for payment and encumbrances, (b) as a condition of receiving payments under the EPC Contract, (i) deliver a release executed by the Contractor and all Main Subcontractors releasing any of their liens, and (ii) bond around all other liens of all other subcontractors and equipment suppliers of the Contractor, in each case with respect to any Work covered by all payments to date (including the Work covered by such payment).  No release of lien shall be made for unpaid amounts.  In the event of non-payment by Contractor, Owner shall have the right to pay the holder of a perfected lien directly and to reduce the Contract Price by a like amount, including any mark-up.</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Intellectual Property</w:t>
      </w:r>
      <w:r>
        <w:rPr>
          <w:sz w:val="24"/>
        </w:rPr>
        <w:t>:</w:t>
        <w:tab/>
        <w:t>Subject to final definition in the EPC Contract; the Contractor’s procurement obligations under the EPC Contract shall include the obligation to procure (a) the right to own, operate and use any supplied equipment that is subject to intellectual property rights, and (b) licenses for proprietary works provided by subcontractors, all of which shall include the right to use, reproduce, make derivative works from, distribute, display and make copies of such proprietary works and shall be perpetual, fully paid-up, world-wide, irrevocable (except to the extent that the terms of any such license are violated) and royalty-free, and may be non-exclusive, granting to the Owner (and including the right to transfer without consent to CFE and the lenders) the right to own, operate and use all materials, equipment and other items to be supplied by the Contractor as part of the Scope of Work.  The Contractor shall not assert any claim against the Owner for the Owner’s use in connection with the Project of any intellectual property disclosed to the Owner in connection with the Contractor’s performance of its obligations under the EPC Contract.  Any matters reduced to a tangible medium of expression by the Contractor (or its subcontractors) during the course of its performance of its obligations under the EPC Contract and required to be supplied to the Owner under the EPC Contract, including all engineering drawings and matters in electronic form, shall become the property of the Owner (with the right to transfer such matters without consent to CFE and the lenders).  The Contractor shall have all copyright rights in such matters, and shall provide the Owner (with the right to transfer such matters without consent to CFE and the lenders) with licenses having the characteristics described in clause (b) above.  In addition, the Contractor shall represent and warrant that all hardware, software and firmware product delivered under the EPC Contract be Year 2000 compliant.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i/>
          <w:i/>
          <w:sz w:val="24"/>
        </w:rPr>
      </w:pPr>
      <w:r>
        <w:rPr>
          <w:sz w:val="24"/>
          <w:u w:val="single"/>
        </w:rPr>
        <w:t>Insurance</w:t>
      </w:r>
      <w:r>
        <w:rPr>
          <w:sz w:val="24"/>
        </w:rPr>
        <w:t>:</w:t>
        <w:tab/>
        <w:t xml:space="preserve">The Contractor shall obtain the insurance specified on Part 2 of Attachment  2 to this Term Sheet.  The Owner shall obtain the insurance specified on Part 1 of Attachment  2 to this Term Sheet.  Such insurance shall be obtained through international underwriters of financial strength customarily required in international project financed projects and shall include terms and conditions (e.g., additional insured, loss payee, waiver of subrogation, and notice provisions) typical in project-financed projects.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i/>
          <w:i/>
          <w:sz w:val="24"/>
        </w:rPr>
      </w:pPr>
      <w:r>
        <w:rPr>
          <w:i/>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Confidentiality</w:t>
      </w:r>
      <w:r>
        <w:rPr>
          <w:sz w:val="24"/>
        </w:rPr>
        <w:t>:</w:t>
        <w:tab/>
        <w:t>Each party agrees to maintain in confidence and not disclose to any person any information that the other party or the CFE provides it in connection with the performance of its obligations under the EPC Contract, including, without limitation, the Owner’s Proposal, the Bidding Guidelines and the Bid Specifications, which confidentiality obligation shall be subject to customary exceptions.</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Labor Contracts; Mexican Origin</w:t>
      </w:r>
      <w:r>
        <w:rPr>
          <w:sz w:val="24"/>
        </w:rPr>
        <w:t>:</w:t>
        <w:tab/>
        <w:t xml:space="preserve">The Contractor shall enter into those labor contracts required for the Performance of this Project with the </w:t>
      </w:r>
      <w:r>
        <w:rPr>
          <w:i/>
          <w:sz w:val="24"/>
        </w:rPr>
        <w:t>Sindicato Unico de Trabajadores Electricistas de la República Mexicana.</w:t>
      </w:r>
      <w:r>
        <w:rPr>
          <w:sz w:val="24"/>
        </w:rPr>
        <w:t xml:space="preserve">  The Contractor agrees that no less than 25% of the total cost of the engineering, supply and construction of the Project must be of Mexican origin (as defined in Annex 11, section 11.5 of the Bidding Guidelines).  The Contractor shall provide the report required pursuant to section 5 of Annex 11 to the CFE PPA, and shall demonstrate compliance with the agreed national content percentage.  In the event that the Contractor fails to comply with these requirements, the Contractor will pay to the Owner liquidated damages in accordance with Item 2 of Attachment 1.</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Indemnification</w:t>
      </w:r>
      <w:r>
        <w:rPr>
          <w:sz w:val="24"/>
        </w:rPr>
        <w:t>:</w:t>
        <w:tab/>
        <w:t xml:space="preserve">The EPC Contract will contain indemnification provisions similar to those in other recent major equipment supply agreements between affiliates of the Owner and Major Subcontractor.  The EPC Contract will also contain a customary indemnity by the Contractor for losses arising out of patent infringements or similar proprietary claims.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Inspection</w:t>
      </w:r>
      <w:r>
        <w:rPr>
          <w:sz w:val="24"/>
        </w:rPr>
        <w:t>:</w:t>
        <w:tab/>
        <w:t xml:space="preserve">The Owner shall have the right to inspect all Work in progress at the Site to ensure that such Work is proceeding in accordance with the EPC Contract, and the Contractor shall provide the Owner, CFE, the lenders and their respective agents access at all reasonable times to the construction site and, where possible, to the manufacturing plants of the Contractor’s subcontractors and vendors, in each case at all times when work is being performed there, for the purposes of such inspections.  If the Owner notifies the Contractor that the Work is not being carried out in accordance with the EPC Contract, the Contractor shall promptly take such steps as may be necessary to correct any defects and to carry out the Work in accordance with the EPC Contract.  The Owner shall have the right at any time to cause the Contractor to stop any Work (after reasonable notice and cure period to Contractor) that is not being carried out in accordance with the EPC Contract.  The Owner’s inspection of any Work or its failure to detect any defective Work shall not impair its rights or affect the Contractor’s liabilities with respect to defective Work.  All such inspections shall be conducted in accordance with the Owner’ Proposal, the CFE Bidding Guidelines, the S&amp;L Bid Specifications and the CFE PPA.  The Contractor shall not be required to delay the progress of the Work in order to permit inspection.  The Contractor shall provide the Owner with reasonable advance notice of all witness and inspection points.  In addition, the EPC Contract will contain provisions entitling the Owner to have completed Work exposed as is reasonably practicable under the circumstances and to have diagnostic tests performed as applicable to complete its inspection of the Work.  If the Contractor failed to provide the Owner with reasonable advance notice to witness and inspect such Work prior to completion or if any defects are discovered in such completed Work, the cost of such exposure and inspection, and any delay resulting therefrom, shall be for the account of the Contractor.  If the Contractor provided the Owner with reasonable advance notice to witness and inspect such Work prior to completion and no defects are discovered in such completed Work, the cost of such exposure and inspection shall be reimbursed by the Owner, and the Schedule shall be equitably adjusted to compensate for any delay caused thereby through a Change Order.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Suspension</w:t>
      </w:r>
      <w:r>
        <w:rPr>
          <w:sz w:val="24"/>
        </w:rPr>
        <w:t>:</w:t>
        <w:tab/>
        <w:t>The Owner shall have the right at any time upon notice to the Contractor to cause the Contractor to suspend the Work (in whole or in part) for a period of time specified in such notice.  If the period of suspension is less than 15 days or, if greater, the Owner does not request the Contractor to demobilize, the Owner shall pay the standby costs of the Contractor for the period of the suspension.  If the period of the suspension is greater than 15 days and the Owner’s notice so instructs the Contractor, the Contractor shall demobilize (including taking all measures to protect the Work during the period of the suspension) for the period of the suspension and remobilize following the end of the suspension, in which case the Owner shall pay the Contractor its costs resulting from the suspension, demobilization  and remobilization.  At the request of the Owner, the Contractor shall prepare a detailed breakdown of the costs of any proposed suspension, including the costs of (a) slowing down, (b) suspending all relevant activities for the relevant period and demobilizing, (c) remobilizing following the end of the suspension period, and (d) protecting the Work during the period of the suspension.  Notwithstanding any such suspension, the Owner shall pay to the Contractor all payments in accordance with the agreed upon payment schedule due and owing for Work completed prior to the suspension.</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Representatives</w:t>
      </w:r>
      <w:r>
        <w:rPr>
          <w:sz w:val="24"/>
        </w:rPr>
        <w:t>:</w:t>
        <w:tab/>
        <w:t>Each of the Owner and the Contractor shall designate one or more representatives (such that one representative of each party shall be available at all times at the construction site) with authority to make decisions for such party relating to the EPC Contract.  The Owner and the Contractor may also designate other representatives from time to time with such authority as may be designated by such party.</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Force Majeure</w:t>
      </w:r>
      <w:r>
        <w:rPr>
          <w:sz w:val="24"/>
        </w:rPr>
        <w:t>:</w:t>
        <w:tab/>
        <w:t>The Contractor and the Owner shall be relieved of their respective obligations (other than any obligation to pay money) under the EPC Contract to the extent that the performance thereof is prevented by one or more customary and usual events that constitute Force Majeure under contracts similar to the EPC Contract and that are not in addition to the events of Force Majeure listed under the CFE PPA or the GM PPA.  Procedures relating to Force Majeure shall be consistent with the corresponding provisions of the CFE PPA and GM PPA.</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Owner Default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and Remedies</w:t>
      </w:r>
      <w:r>
        <w:rPr>
          <w:sz w:val="24"/>
        </w:rPr>
        <w:t>:</w:t>
        <w:tab/>
        <w:t xml:space="preserve">The Contractor shall have the right to terminate the EPC Contract for the following Owner defaults: failure to make payments (after notice and cure periods have passed), bankruptcy or insolvency, or failure to maintain required insurance.  The Contractor’s sole and exclusive remedy for any other default of the Owner shall be monetary damages.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Contractor Default</w:t>
      </w:r>
      <w:r>
        <w:rPr>
          <w:sz w:val="24"/>
        </w:rPr>
        <w:t>:</w:t>
        <w:tab/>
        <w:t>The Owner shall have the right to terminate the EPC Contract upon the occurrence of any of the following events (each a “Contractor Default”): (a) the abandonment of the construction of the Project, (b) the failure by the Contractor to make any payments (after notice and cure periods have passed) or to maintain or replenish the letter of credit (if any), (c) the failure to maintain any required insurance, (d) the failure to commence the Work within 15 days after the Owner issues a Notice to Proceed, (e) the failure to achieve the completion of any Critical Event on or prior to the 180th day after the relevant Critical Event Date, (f) bankruptcy or insolvency of the Contractor or any guarantor of the Contractor’s obligations, (g) any representation or warranty made by the Contractor proves to have been inaccurate in any material respect, or (h) the failure by the Contractor to observe or comply with any material obligation under the EPC Contract, and such breach continues for 20 days from the receipt of notice from the Owner of such breach.  In the event that the parties agree to divide the obligations under the EPC Contract contemplated by this Term Sheet into two separate contracts, such as an onshore contract and an offshore contract, then a default under one contract shall cause a default under the other.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Termination for Convenience</w:t>
      </w:r>
      <w:r>
        <w:rPr>
          <w:sz w:val="24"/>
        </w:rPr>
        <w:t>:</w:t>
        <w:tab/>
        <w:t>The Owner shall have the right to terminate the EPC Contract without cause, in which event the Owner shall be obligated to pay to the Contractor normal and customary termination charges to be more specifically set forth in the EPC Contract.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start="3600" w:end="0"/>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Intervention</w:t>
      </w:r>
      <w:r>
        <w:rPr>
          <w:sz w:val="24"/>
        </w:rPr>
        <w:t>:</w:t>
        <w:tab/>
        <w:t>The Contractor recognizes that CFE has the right of intervention set forth in Article 13.5 of the CFE PPA and that it shall not be relieved of any of its obligations (or lose any of its rights) under the EPC Contract as a result of any intervention by CFE thereunder.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Remedies following Termination</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for Contractor Default</w:t>
      </w:r>
      <w:r>
        <w:rPr>
          <w:sz w:val="24"/>
        </w:rPr>
        <w:t>:</w:t>
        <w:tab/>
        <w:t>If the Owner terminates the EPC Contract as a result of a Contractor Default, the Contractor shall be liable to the Owner for damages in an amount equal to the excess, if any, of (a) the sum of the amount of payments made to the Contractor under the EPC Contract and the amount of actual costs incurred by the Owner in completing construction of the Project over (b) the Contract Price.  The Owner shall also be entitled to all remedies available under applicable law, subject to the provisions set forth under “Waiver of Certain Remedies” below and the EPC Contract.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Representations and Warranties</w:t>
      </w:r>
      <w:r>
        <w:rPr>
          <w:sz w:val="24"/>
        </w:rPr>
        <w:t>:</w:t>
        <w:tab/>
        <w:t>The EPC Contract will contain standard corporate representations and warranties by the Contractor and the Owner, including representations and warranties regarding (a) the due formation of such party and its existence and authorization to carry on its business, (b) the authority of such party to enter into and perform the EPC Contract, (c) the enforceability of the EPC Contract against such party, (d) that the execution and performance of the EPC Contract do not contravene or require any notice, consent or Permit under any law applicable to such party, its organizational documents, or any contracts binding upon such party, (e) the experience and qualification of the Contractor to perform electric generation plant construction work in Mexico, and (e) that there is no litigation pending or, to such party’s knowledge, threatened against such party that would adversely affect the EPC Contract or such party’s execution and performance of the EPC Contract.  The EPC Contract will also contain representations and warranties of (i)</w:t>
      </w:r>
      <w:r>
        <w:rPr/>
        <w:t> </w:t>
      </w:r>
      <w:r>
        <w:rPr>
          <w:sz w:val="24"/>
        </w:rPr>
        <w:t>the Contractor stating that it meets the technical and operating experience requirements set forth in Section 3 of the Bidding Guidelines, (ii)</w:t>
      </w:r>
      <w:r>
        <w:rPr/>
        <w:t> </w:t>
      </w:r>
      <w:r>
        <w:rPr>
          <w:sz w:val="24"/>
        </w:rPr>
        <w:t>each party stating that all information provided to the other party is true and correct, (iii) each party stating that it has the requisite personnel and expertise to carry out its obligations under the EPC Contract, (iv) the Contractor stating that it has fully reviewed the Owner’s Proposal, the Bidding Guidelines and the Bid Specifications , and (v) the Contractor stating that it has conducted all investigations necessary to enable it to perform its obligations under the EPC Contract, including, without limitation, the route of the pipeline, and its soil and geology.</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Financing</w:t>
      </w:r>
      <w:r>
        <w:rPr>
          <w:sz w:val="24"/>
        </w:rPr>
        <w:t>:</w:t>
        <w:tab/>
        <w:t xml:space="preserve">The Contractor shall use all reasonable efforts to assist the Owner in obtaining financing on a nonrecourse basis for the Project.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Risk of Loss</w:t>
      </w:r>
      <w:r>
        <w:rPr>
          <w:sz w:val="24"/>
        </w:rPr>
        <w:t>:</w:t>
        <w:tab/>
        <w:t>The Contractor shall retain the risk of loss of the Project and all materials and equipment to be incorporated therein until the Provisional Acceptance Date.  The Contractor shall promptly replace, repair, or restore the Project or any such materials and equipment if any damage, destruction, or other loss occurs thereto prior to the Provisional Acceptance Date, at no cost to the Owner; provided that Owner shall make available to the Contractor for the sole purpose of replacing, repairing or restoring any such Project, materials or equipment, all proceeds of insurance received by Owner and required to be maintained by Owner pursuant to this Term Sheet in respect of any such damage, destruction or loss.</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Passage of Title</w:t>
      </w:r>
      <w:r>
        <w:rPr>
          <w:sz w:val="24"/>
        </w:rPr>
        <w:t>:</w:t>
        <w:tab/>
        <w:t>Title to all equipment and materials not imported into Mexico shall pass to the Owner at the time it is incorporated into the Work.  Title to all imported equipment and materials shall pass to the Owner at such time as shall be required for the Owner to become importer of record of such equipment and materials. The Contractor shall cause title to all of the Project, materials, parts and equipment to pass to the Owner free and clear of all liens, security interests, claims for payment, or other encumbrances except for statutory liens in favor of the Contractor for unpaid amounts.  Contractor shall make a representation as to title to the Project, equipment, materials and parts delivered to the Owner.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Independent Contractor</w:t>
      </w:r>
      <w:r>
        <w:rPr>
          <w:sz w:val="24"/>
        </w:rPr>
        <w:t>:</w:t>
        <w:tab/>
        <w:t>The EPC Contract shall contain customary provisions stating that the Contractor is an independent contractor.</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Dispute Resolution</w:t>
      </w:r>
      <w:r>
        <w:rPr>
          <w:sz w:val="24"/>
        </w:rPr>
        <w:t>:</w:t>
        <w:tab/>
        <w:t xml:space="preserve">All disputes arising out of or relating to the EPC Contract shall be resolved firstly by a 30 day period of negotiations between Owner’s and Contractor’s executive management and then, upon the request of either party, through arbitration in accordance with the rules of the International Chamber of Commerce, by a panel of three arbitrators (one selected by each party, and the third selected by the other two arbitrators).  The arbitration proceeding shall be carried out in New York, New York in the English language, and shall allow for a discovery period. For any matter that is in dispute between the Owner and the Contractor that is also in dispute between the Owner and CFE under the CFE PPA, and/or the Owner and Grupo Mexico under the GM PPA, the Contractor shall use all reasonable efforts to cooperate with the Owner in such dispute resolution proceeding with CFE and/or Grupo Mexico at the Owner’s expense.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t xml:space="preserve">Limitation on Liability; </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Waiver of Certain Remedies</w:t>
      </w:r>
      <w:r>
        <w:rPr>
          <w:sz w:val="24"/>
        </w:rPr>
        <w:t>:</w:t>
        <w:tab/>
        <w:t>Contractor’s total liability to Owner under the EPC Contract shall not exceed 100% of the Contract Price; provided that the foregoing limitation shall be subject to customary exclusions (including the obligation to remove liens, indemnity obligations for third party claims, liabilities associated with the failure to comply with laws, and the obligation to achieve mechanical completion of the Project).  Neither party to the EPC Contract shall be liable to the other for any special, consequential, indirect, or punitive damages, including, without limitation, any damages for loss of profits, revenues, or income, the cost of purchased or replacement power, claims of customers or interest or other financing costs, except to the extent of any express remedies (including indemnification and liquidated damages) to be set forth under the EPC Contract.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FCPA</w:t>
      </w:r>
      <w:r>
        <w:rPr>
          <w:sz w:val="24"/>
        </w:rPr>
        <w:t>:</w:t>
        <w:tab/>
        <w:t>Contractor agrees not to pay or give, or promise to pay or give, anything of value, either directly or indirectly, to an official of any government for the purpose of influencing an act of any such government or its officials in connection with the Project.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Assignment</w:t>
      </w:r>
      <w:r>
        <w:rPr>
          <w:sz w:val="24"/>
        </w:rPr>
        <w:t>:</w:t>
        <w:tab/>
        <w:t xml:space="preserve">The Owner shall have the right to assign the EPC Contract.  The Contractor shall not have the right to assign the EPC Contract without the prior consent of the Owner, except that the Contractor may assign the EPC Contract to wholly-owned subsidiaries for the performance of the offshore and onshore portions of the Work by separate entities without such consent but subject to the requirements described in the Section on </w:t>
      </w:r>
      <w:r>
        <w:rPr>
          <w:sz w:val="24"/>
          <w:u w:val="single"/>
        </w:rPr>
        <w:t>Taxes and Import Duties</w:t>
      </w:r>
      <w:r>
        <w:rPr>
          <w:sz w:val="24"/>
        </w:rPr>
        <w:t>.</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Governing Law</w:t>
      </w:r>
      <w:r>
        <w:rPr>
          <w:sz w:val="24"/>
        </w:rPr>
        <w:t>:</w:t>
        <w:tab/>
        <w:t>New York.</w:t>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Language</w:t>
      </w:r>
      <w:r>
        <w:rPr>
          <w:sz w:val="24"/>
        </w:rPr>
        <w:t>:</w:t>
        <w:tab/>
        <w:t>The EPC Contract, and all documents, correspondence, data and drawings supplied thereunder, shall be in the English language; except for certain documents which shall also be in the Spanish language as further outlined in the EPC Contract.</w:t>
      </w:r>
      <w:r>
        <w:br w:type="page"/>
      </w:r>
    </w:p>
    <w:p>
      <w:pPr>
        <w:pStyle w:val="Heading1"/>
        <w:widowControl/>
        <w:ind w:hanging="0" w:start="0"/>
        <w:rPr/>
      </w:pPr>
      <w:r>
        <w:rPr/>
        <w:t>Attachment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t>Penalties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000000"/>
              <w:start w:val="single" w:sz="6" w:space="0" w:color="000000"/>
              <w:bottom w:val="single" w:sz="6" w:space="0" w:color="000000"/>
              <w:end w:val="single" w:sz="6" w:space="0" w:color="000000"/>
            </w:tcBorders>
          </w:tcPr>
          <w:p>
            <w:pPr>
              <w:pStyle w:val="Heading1"/>
              <w:widowControl/>
              <w:ind w:hanging="0" w:start="0"/>
              <w:rPr>
                <w:sz w:val="22"/>
              </w:rPr>
            </w:pPr>
            <w:r>
              <w:rPr>
                <w:sz w:val="22"/>
              </w:rPr>
              <w:t>Term Heading</w:t>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sz w:val="22"/>
              </w:rPr>
            </w:pPr>
            <w:r>
              <w:rPr>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1. Aggregate LD Cap</w:t>
            </w:r>
          </w:p>
        </w:tc>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[40]% of Contract Price</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2. Minimum Mexican Content Obligation</w:t>
            </w:r>
          </w:p>
        </w:tc>
        <w:tc>
          <w:tcPr>
            <w:tcW w:w="4788" w:type="dxa"/>
            <w:tcBorders>
              <w:top w:val="single" w:sz="6" w:space="0" w:color="000000"/>
              <w:start w:val="single" w:sz="6" w:space="0" w:color="000000"/>
              <w:bottom w:val="single" w:sz="6" w:space="0" w:color="000000"/>
              <w:end w:val="single" w:sz="6" w:space="0" w:color="000000"/>
            </w:tcBorders>
          </w:tcPr>
          <w:p>
            <w:pPr>
              <w:pStyle w:val="Normal"/>
              <w:rPr/>
            </w:pPr>
            <w:r>
              <w:rPr>
                <w:b/>
                <w:sz w:val="22"/>
              </w:rPr>
              <w:t>$[</w:t>
            </w:r>
            <w:r>
              <w:rPr>
                <w:b/>
                <w:i/>
                <w:sz w:val="22"/>
              </w:rPr>
              <w:t>250,000</w:t>
            </w:r>
            <w:r>
              <w:rPr>
                <w:b/>
                <w:sz w:val="22"/>
              </w:rPr>
              <w:t>] for each % point below 25% content. All content percentages to be verified.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3. Power Output LD’s (on Provisional Acceptance Date)</w:t>
            </w:r>
          </w:p>
        </w:tc>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 xml:space="preserve"> </w:t>
            </w:r>
            <w:r>
              <w:rPr>
                <w:b/>
                <w:sz w:val="22"/>
              </w:rPr>
              <w:t>$[154,510]/MW for each MW shortfall below Owner’s Guaranteed Capacity ([247.5] MW on Base Fuel or [223.0] MW on Alternate Fuel) to CFE.</w:t>
            </w:r>
          </w:p>
          <w:p>
            <w:pPr>
              <w:pStyle w:val="Normal"/>
              <w:rPr>
                <w:b/>
                <w:sz w:val="22"/>
              </w:rPr>
            </w:pPr>
            <w:r>
              <w:rPr>
                <w:b/>
                <w:sz w:val="22"/>
              </w:rPr>
            </w:r>
          </w:p>
          <w:p>
            <w:pPr>
              <w:pStyle w:val="Normal"/>
              <w:rPr>
                <w:b/>
                <w:sz w:val="22"/>
              </w:rPr>
            </w:pPr>
            <w:r>
              <w:rPr>
                <w:b/>
                <w:sz w:val="22"/>
              </w:rPr>
              <w:t>$[677,690]/MW for each MW shortfall below [192] MW</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4.  Interim Power LD’s</w:t>
            </w:r>
          </w:p>
        </w:tc>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 xml:space="preserve">$[   ]/MW/day based on firing natural gas. If the plant is operated a substantial amount of time on alternate fuel (diesel) parties to negotiate in good faith appropriate Interim LD’s. </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5.  Buydown Power LD’s</w:t>
            </w:r>
          </w:p>
        </w:tc>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      ]/MW of shortfall if unable to cure or bring up to  guarantee level.  Interim Power LD’s paid are credited towards the Buydown Power LD’s.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6.  Interim Heat Rate LD’s</w:t>
            </w:r>
          </w:p>
        </w:tc>
        <w:tc>
          <w:tcPr>
            <w:tcW w:w="4788" w:type="dxa"/>
            <w:tcBorders>
              <w:top w:val="single" w:sz="6" w:space="0" w:color="000000"/>
              <w:start w:val="single" w:sz="6" w:space="0" w:color="000000"/>
              <w:bottom w:val="single" w:sz="6" w:space="0" w:color="000000"/>
              <w:end w:val="single" w:sz="6" w:space="0" w:color="000000"/>
            </w:tcBorders>
          </w:tcPr>
          <w:p>
            <w:pPr>
              <w:pStyle w:val="Normal"/>
              <w:rPr/>
            </w:pPr>
            <w:r>
              <w:rPr>
                <w:b/>
                <w:sz w:val="22"/>
              </w:rPr>
              <w:t xml:space="preserve">Gas Cost per day, plant’s heat </w:t>
            </w:r>
            <w:r>
              <w:rPr>
                <w:b/>
                <w:sz w:val="22"/>
                <w:u w:val="single"/>
              </w:rPr>
              <w:t>rate is higher than the guaranteed heat rate</w:t>
            </w:r>
          </w:p>
          <w:p>
            <w:pPr>
              <w:pStyle w:val="Normal"/>
              <w:rPr>
                <w:b/>
                <w:sz w:val="22"/>
                <w:u w:val="single"/>
              </w:rPr>
            </w:pPr>
            <w:r>
              <w:rPr>
                <w:b/>
                <w:sz w:val="22"/>
                <w:u w:val="single"/>
              </w:rPr>
            </w:r>
          </w:p>
          <w:p>
            <w:pPr>
              <w:pStyle w:val="Normal"/>
              <w:rPr>
                <w:b/>
                <w:sz w:val="22"/>
              </w:rPr>
            </w:pPr>
            <w:r>
              <w:rPr>
                <w:b/>
                <w:sz w:val="22"/>
              </w:rPr>
              <w:t>Gas Interim Heat Rate LD’s = $[      ]/kJ/day</w:t>
            </w:r>
          </w:p>
          <w:p>
            <w:pPr>
              <w:pStyle w:val="Normal"/>
              <w:rPr>
                <w:b/>
                <w:sz w:val="22"/>
              </w:rPr>
            </w:pPr>
            <w:r>
              <w:rPr>
                <w:b/>
                <w:sz w:val="22"/>
              </w:rPr>
            </w:r>
          </w:p>
          <w:p>
            <w:pPr>
              <w:pStyle w:val="Normal"/>
              <w:rPr/>
            </w:pPr>
            <w:r>
              <w:rPr>
                <w:b/>
                <w:sz w:val="22"/>
              </w:rPr>
              <w:t xml:space="preserve">Oil Cost per day, plant’s heat rate is higher than the </w:t>
            </w:r>
            <w:r>
              <w:rPr>
                <w:b/>
                <w:sz w:val="22"/>
                <w:u w:val="single"/>
              </w:rPr>
              <w:t>guaranteed heat rate</w:t>
            </w:r>
          </w:p>
          <w:p>
            <w:pPr>
              <w:pStyle w:val="Normal"/>
              <w:rPr>
                <w:b/>
                <w:sz w:val="22"/>
                <w:u w:val="single"/>
              </w:rPr>
            </w:pPr>
            <w:r>
              <w:rPr>
                <w:b/>
                <w:sz w:val="22"/>
                <w:u w:val="single"/>
              </w:rPr>
            </w:r>
          </w:p>
          <w:p>
            <w:pPr>
              <w:pStyle w:val="Normal"/>
              <w:rPr>
                <w:b/>
                <w:sz w:val="22"/>
              </w:rPr>
            </w:pPr>
            <w:r>
              <w:rPr>
                <w:b/>
                <w:sz w:val="22"/>
              </w:rPr>
              <w:t>Oil Interim Heat Rate LD’s = $[      ]/kJ/day</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7.  Buydown Heat Rate LD’s</w:t>
            </w:r>
          </w:p>
        </w:tc>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Gas - $[      ] for each kJ/kWh above the Guaranteed Heat Rate.</w:t>
            </w:r>
          </w:p>
          <w:p>
            <w:pPr>
              <w:pStyle w:val="Normal"/>
              <w:rPr>
                <w:b/>
                <w:sz w:val="22"/>
              </w:rPr>
            </w:pPr>
            <w:r>
              <w:rPr>
                <w:b/>
                <w:sz w:val="22"/>
              </w:rPr>
            </w:r>
          </w:p>
          <w:p>
            <w:pPr>
              <w:pStyle w:val="Normal"/>
              <w:rPr>
                <w:b/>
                <w:sz w:val="22"/>
              </w:rPr>
            </w:pPr>
            <w:r>
              <w:rPr>
                <w:b/>
                <w:sz w:val="22"/>
              </w:rPr>
              <w:t>Oil - $[       ] for each kJ/kWh above the Guaranteed Heat Rate based on running 360 hours per year on oil.  To be discussed if permanently running on oil.</w:t>
            </w:r>
          </w:p>
          <w:p>
            <w:pPr>
              <w:pStyle w:val="Normal"/>
              <w:rPr>
                <w:b/>
                <w:sz w:val="22"/>
              </w:rPr>
            </w:pPr>
            <w:r>
              <w:rPr>
                <w:b/>
                <w:sz w:val="22"/>
              </w:rPr>
            </w:r>
          </w:p>
          <w:p>
            <w:pPr>
              <w:pStyle w:val="Normal"/>
              <w:rPr>
                <w:b/>
                <w:sz w:val="22"/>
              </w:rPr>
            </w:pPr>
            <w:r>
              <w:rPr>
                <w:b/>
                <w:sz w:val="22"/>
              </w:rPr>
              <w:t>Interim Heat Rate LD’s paid are credited towards the Buydown Heat Rate LD’s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8.  Schedule Delay LD’s</w:t>
            </w:r>
          </w:p>
        </w:tc>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 xml:space="preserve">$[]/day based on the Provisional Acceptance Date of [April 1, 2002]. </w:t>
            </w:r>
          </w:p>
          <w:p>
            <w:pPr>
              <w:pStyle w:val="Normal"/>
              <w:rPr>
                <w:b/>
                <w:sz w:val="22"/>
              </w:rPr>
            </w:pPr>
            <w:r>
              <w:rPr>
                <w:b/>
                <w:sz w:val="22"/>
              </w:rPr>
            </w:r>
          </w:p>
          <w:p>
            <w:pPr>
              <w:pStyle w:val="Normal"/>
              <w:rPr>
                <w:b/>
                <w:sz w:val="22"/>
              </w:rPr>
            </w:pPr>
            <w:r>
              <w:rPr>
                <w:b/>
                <w:sz w:val="22"/>
              </w:rPr>
              <w:t>After [May 1, 2002] the CFE payments apply in addition to the $[]/ day</w:t>
            </w:r>
          </w:p>
          <w:p>
            <w:pPr>
              <w:pStyle w:val="Normal"/>
              <w:rPr>
                <w:b/>
                <w:sz w:val="22"/>
              </w:rPr>
            </w:pPr>
            <w:r>
              <w:rPr>
                <w:b/>
                <w:sz w:val="22"/>
              </w:rPr>
              <w:t>The CFE Payments are:</w:t>
            </w:r>
          </w:p>
          <w:p>
            <w:pPr>
              <w:pStyle w:val="Normal"/>
              <w:rPr>
                <w:b/>
                <w:sz w:val="22"/>
              </w:rPr>
            </w:pPr>
            <w:r>
              <w:rPr>
                <w:b/>
                <w:sz w:val="22"/>
              </w:rPr>
            </w:r>
          </w:p>
          <w:p>
            <w:pPr>
              <w:pStyle w:val="Normal"/>
              <w:rPr/>
            </w:pPr>
            <w:r>
              <w:rPr>
                <w:b/>
                <w:sz w:val="22"/>
              </w:rPr>
              <w:t>0-30 days     $[</w:t>
            </w:r>
            <w:r>
              <w:rPr>
                <w:b/>
                <w:i/>
                <w:sz w:val="22"/>
              </w:rPr>
              <w:t>33,333</w:t>
            </w:r>
            <w:r>
              <w:rPr>
                <w:b/>
                <w:sz w:val="22"/>
              </w:rPr>
              <w:t>]/day</w:t>
            </w:r>
          </w:p>
          <w:p>
            <w:pPr>
              <w:pStyle w:val="Normal"/>
              <w:rPr/>
            </w:pPr>
            <w:r>
              <w:rPr>
                <w:b/>
                <w:sz w:val="22"/>
              </w:rPr>
              <w:t>31-60 days   $[</w:t>
            </w:r>
            <w:r>
              <w:rPr>
                <w:b/>
                <w:i/>
                <w:sz w:val="22"/>
              </w:rPr>
              <w:t>50,000</w:t>
            </w:r>
            <w:r>
              <w:rPr>
                <w:b/>
                <w:sz w:val="22"/>
              </w:rPr>
              <w:t>]/day</w:t>
            </w:r>
          </w:p>
          <w:p>
            <w:pPr>
              <w:pStyle w:val="Normal"/>
              <w:rPr/>
            </w:pPr>
            <w:r>
              <w:rPr>
                <w:b/>
                <w:sz w:val="22"/>
              </w:rPr>
              <w:t>61-90 days   $[</w:t>
            </w:r>
            <w:r>
              <w:rPr>
                <w:b/>
                <w:i/>
                <w:sz w:val="22"/>
              </w:rPr>
              <w:t>66,666</w:t>
            </w:r>
            <w:r>
              <w:rPr>
                <w:b/>
                <w:sz w:val="22"/>
              </w:rPr>
              <w:t>]/day</w:t>
            </w:r>
          </w:p>
          <w:p>
            <w:pPr>
              <w:pStyle w:val="Normal"/>
              <w:rPr/>
            </w:pPr>
            <w:r>
              <w:rPr>
                <w:b/>
                <w:sz w:val="22"/>
              </w:rPr>
              <w:t>91-120 days $[</w:t>
            </w:r>
            <w:r>
              <w:rPr>
                <w:b/>
                <w:i/>
                <w:sz w:val="22"/>
              </w:rPr>
              <w:t>83,333</w:t>
            </w:r>
            <w:r>
              <w:rPr>
                <w:b/>
                <w:sz w:val="22"/>
              </w:rPr>
              <w:t>]/day</w:t>
            </w:r>
          </w:p>
          <w:p>
            <w:pPr>
              <w:pStyle w:val="Normal"/>
              <w:rPr/>
            </w:pPr>
            <w:r>
              <w:rPr>
                <w:b/>
                <w:sz w:val="22"/>
              </w:rPr>
              <w:t>121-150 days $[</w:t>
            </w:r>
            <w:r>
              <w:rPr>
                <w:b/>
                <w:i/>
                <w:sz w:val="22"/>
              </w:rPr>
              <w:t>100,000</w:t>
            </w:r>
            <w:r>
              <w:rPr>
                <w:b/>
                <w:sz w:val="22"/>
              </w:rPr>
              <w:t>]/day</w:t>
            </w:r>
          </w:p>
          <w:p>
            <w:pPr>
              <w:pStyle w:val="Normal"/>
              <w:rPr/>
            </w:pPr>
            <w:r>
              <w:rPr>
                <w:b/>
                <w:sz w:val="22"/>
              </w:rPr>
              <w:t>151-180 days $[</w:t>
            </w:r>
            <w:r>
              <w:rPr>
                <w:b/>
                <w:i/>
                <w:sz w:val="22"/>
              </w:rPr>
              <w:t>116,666</w:t>
            </w:r>
            <w:r>
              <w:rPr>
                <w:b/>
                <w:sz w:val="22"/>
              </w:rPr>
              <w:t>]/day</w:t>
            </w:r>
          </w:p>
          <w:p>
            <w:pPr>
              <w:pStyle w:val="Normal"/>
              <w:rPr>
                <w:b/>
                <w:sz w:val="22"/>
              </w:rPr>
            </w:pPr>
            <w:r>
              <w:rPr>
                <w:b/>
                <w:sz w:val="22"/>
              </w:rPr>
            </w:r>
          </w:p>
          <w:p>
            <w:pPr>
              <w:pStyle w:val="Normal"/>
              <w:rPr>
                <w:b/>
                <w:sz w:val="22"/>
              </w:rPr>
            </w:pPr>
            <w:r>
              <w:rPr>
                <w:b/>
                <w:sz w:val="22"/>
              </w:rPr>
              <w:t>Greater than 180 day delay = Default</w:t>
            </w:r>
          </w:p>
          <w:p>
            <w:pPr>
              <w:pStyle w:val="Normal"/>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9.  Critical Event Delays</w:t>
            </w:r>
          </w:p>
        </w:tc>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Backstop LC’s to Owner for Owner’s Letters of Credit to CFE</w:t>
            </w:r>
          </w:p>
          <w:p>
            <w:pPr>
              <w:pStyle w:val="Normal"/>
              <w:rPr>
                <w:b/>
                <w:sz w:val="22"/>
              </w:rPr>
            </w:pPr>
            <w:r>
              <w:rPr>
                <w:b/>
                <w:sz w:val="22"/>
              </w:rPr>
            </w:r>
          </w:p>
          <w:p>
            <w:pPr>
              <w:pStyle w:val="BodyText"/>
              <w:widowControl/>
              <w:rPr/>
            </w:pPr>
            <w:r>
              <w:rPr>
                <w:b/>
              </w:rPr>
              <w:t>Purchase Order for Turbo Generators - $[</w:t>
            </w:r>
            <w:r>
              <w:rPr>
                <w:b/>
                <w:i/>
              </w:rPr>
              <w:t>333,000</w:t>
            </w:r>
            <w:r>
              <w:rPr>
                <w:b/>
              </w:rPr>
              <w:t>]</w:t>
            </w:r>
          </w:p>
          <w:p>
            <w:pPr>
              <w:pStyle w:val="Normal"/>
              <w:rPr>
                <w:b/>
                <w:sz w:val="22"/>
              </w:rPr>
            </w:pPr>
            <w:r>
              <w:rPr>
                <w:b/>
                <w:sz w:val="22"/>
              </w:rPr>
            </w:r>
          </w:p>
          <w:p>
            <w:pPr>
              <w:pStyle w:val="Normal"/>
              <w:rPr/>
            </w:pPr>
            <w:r>
              <w:rPr>
                <w:b/>
                <w:sz w:val="22"/>
              </w:rPr>
              <w:t>Completion of Foundation for gas and steam turbogenerator table - $[</w:t>
            </w:r>
            <w:r>
              <w:rPr>
                <w:b/>
                <w:i/>
                <w:sz w:val="22"/>
              </w:rPr>
              <w:t>333,000</w:t>
            </w:r>
            <w:r>
              <w:rPr>
                <w:b/>
                <w:sz w:val="22"/>
              </w:rPr>
              <w:t>]</w:t>
            </w:r>
          </w:p>
          <w:p>
            <w:pPr>
              <w:pStyle w:val="Normal"/>
              <w:rPr>
                <w:b/>
                <w:sz w:val="22"/>
              </w:rPr>
            </w:pPr>
            <w:r>
              <w:rPr>
                <w:b/>
                <w:sz w:val="22"/>
              </w:rPr>
            </w:r>
          </w:p>
          <w:p>
            <w:pPr>
              <w:pStyle w:val="Normal"/>
              <w:rPr/>
            </w:pPr>
            <w:r>
              <w:rPr>
                <w:b/>
                <w:sz w:val="22"/>
              </w:rPr>
              <w:t>Completion of set up of steam generator - $[</w:t>
            </w:r>
            <w:r>
              <w:rPr>
                <w:b/>
                <w:i/>
                <w:sz w:val="22"/>
              </w:rPr>
              <w:t>333,000</w:t>
            </w:r>
            <w:r>
              <w:rPr>
                <w:b/>
                <w:sz w:val="22"/>
              </w:rPr>
              <w:t>]</w:t>
            </w:r>
          </w:p>
          <w:p>
            <w:pPr>
              <w:pStyle w:val="Normal"/>
              <w:rPr>
                <w:b/>
                <w:sz w:val="22"/>
              </w:rPr>
            </w:pPr>
            <w:r>
              <w:rPr>
                <w:b/>
                <w:sz w:val="22"/>
              </w:rPr>
            </w:r>
          </w:p>
          <w:p>
            <w:pPr>
              <w:pStyle w:val="Normal"/>
              <w:rPr/>
            </w:pPr>
            <w:r>
              <w:rPr>
                <w:b/>
                <w:sz w:val="22"/>
              </w:rPr>
              <w:t>Synchronization of gas turbogenerator - $[</w:t>
            </w:r>
            <w:r>
              <w:rPr>
                <w:b/>
                <w:i/>
                <w:sz w:val="22"/>
              </w:rPr>
              <w:t>666,666</w:t>
            </w:r>
            <w:r>
              <w:rPr>
                <w:b/>
                <w:sz w:val="22"/>
              </w:rPr>
              <w:t>]</w:t>
            </w:r>
          </w:p>
          <w:p>
            <w:pPr>
              <w:pStyle w:val="Normal"/>
              <w:rPr>
                <w:b/>
                <w:sz w:val="22"/>
              </w:rPr>
            </w:pPr>
            <w:r>
              <w:rPr>
                <w:b/>
                <w:sz w:val="22"/>
              </w:rPr>
            </w:r>
          </w:p>
          <w:p>
            <w:pPr>
              <w:pStyle w:val="Normal"/>
              <w:rPr/>
            </w:pPr>
            <w:r>
              <w:rPr>
                <w:b/>
                <w:sz w:val="22"/>
              </w:rPr>
              <w:t>Synchronization of steam turbogenerator - $[</w:t>
            </w:r>
            <w:r>
              <w:rPr>
                <w:b/>
                <w:i/>
                <w:sz w:val="22"/>
              </w:rPr>
              <w:t>666,666</w:t>
            </w:r>
            <w:r>
              <w:rPr>
                <w:b/>
                <w:sz w:val="22"/>
              </w:rPr>
              <w:t>]</w:t>
            </w:r>
          </w:p>
          <w:p>
            <w:pPr>
              <w:pStyle w:val="Normal"/>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c>
          <w:tcPr>
            <w:tcW w:w="4788" w:type="dxa"/>
            <w:tcBorders>
              <w:top w:val="single" w:sz="6" w:space="0" w:color="000000"/>
              <w:start w:val="single" w:sz="6" w:space="0" w:color="000000"/>
              <w:bottom w:val="single" w:sz="6" w:space="0" w:color="000000"/>
              <w:end w:val="single" w:sz="6" w:space="0" w:color="000000"/>
            </w:tcBorders>
          </w:tcPr>
          <w:p>
            <w:pPr>
              <w:pStyle w:val="Normal"/>
              <w:snapToGrid w:val="false"/>
              <w:rPr>
                <w:b/>
                <w:sz w:val="22"/>
              </w:rPr>
            </w:pPr>
            <w:r>
              <w:rPr>
                <w:b/>
                <w:sz w:val="22"/>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10.  Limit of Liability</w:t>
            </w:r>
          </w:p>
        </w:tc>
        <w:tc>
          <w:tcPr>
            <w:tcW w:w="4788" w:type="dxa"/>
            <w:tcBorders>
              <w:top w:val="single" w:sz="6" w:space="0" w:color="000000"/>
              <w:start w:val="single" w:sz="6" w:space="0" w:color="000000"/>
              <w:bottom w:val="single" w:sz="6" w:space="0" w:color="000000"/>
              <w:end w:val="single" w:sz="6" w:space="0" w:color="000000"/>
            </w:tcBorders>
          </w:tcPr>
          <w:p>
            <w:pPr>
              <w:pStyle w:val="Normal"/>
              <w:rPr>
                <w:b/>
                <w:sz w:val="22"/>
              </w:rPr>
            </w:pPr>
            <w:r>
              <w:rPr>
                <w:b/>
                <w:sz w:val="22"/>
              </w:rPr>
              <w:t>[100]% of contract price</w:t>
            </w:r>
          </w:p>
          <w:p>
            <w:pPr>
              <w:pStyle w:val="Normal"/>
              <w:rPr>
                <w:b/>
                <w:sz w:val="22"/>
              </w:rPr>
            </w:pPr>
            <w:r>
              <w:rPr>
                <w:b/>
                <w:sz w:val="22"/>
              </w:rPr>
            </w:r>
          </w:p>
          <w:p>
            <w:pPr>
              <w:pStyle w:val="Normal"/>
              <w:rPr>
                <w:b/>
                <w:sz w:val="22"/>
              </w:rPr>
            </w:pPr>
            <w:r>
              <w:rPr>
                <w:b/>
                <w:sz w:val="22"/>
              </w:rPr>
            </w:r>
          </w:p>
        </w:tc>
      </w:tr>
    </w:tbl>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72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t>Attachment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t>Part 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t>Insurance to be Obtained by Owner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Without relieving or limiting the Contractor’s warranties or any other obligations contemplated under the Term Sheet to which this Attachment 4 is attached, the Owner shall obtain and maintain the following insurance A. to D. with such limits and on such terms as more fully outlined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All such insurance, with the exception of Marine Cargo, shall, to the extent that the laws and regulations in Mexico require the Owner to do so, be placed with the insurance companies authorized to do business in Mexico, provided that said insurance companies are of recognized solvency and are reinsured by reinsurance companies of recognized solvency.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All such insurance shall name the Contractor and its subcontractors as the additional insureds as and to the extent that their respective interests may appear and shall waive the right of subrogation against the Contractor and its subcontractors (except for the case arising out of their willful misconduct).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All such insurance shall further contain terms and conditions typical in project-financed projects (e.g. additional insured, loss payee, waiver of subrogation and notice provisions in favor of the Owner’s senior lenders).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w:t>
        <w:tab/>
      </w:r>
      <w:r>
        <w:rPr>
          <w:sz w:val="24"/>
          <w:u w:val="single"/>
        </w:rPr>
        <w:t>Comprehensive General Liability Insurance.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Coverage:</w:t>
        <w:tab/>
        <w:t>Covering legal and contractual liability for bodily injury and/or property damage directly arising out of execution of the Work in Mexico with the insured hazards of premises-operations only.  This insurance shall be primary to any other liability insurance for activities only at the Site.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 Limit:</w:t>
        <w:tab/>
        <w:t>Combined single limit US$ 1,000,000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Deductible:</w:t>
        <w:tab/>
        <w:t>Not more than US$ 50,000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Duration:</w:t>
        <w:tab/>
        <w:t>Upon no later than providing Notice to Proceed to the Contractor until the Project are turned over to the Owner following the successful completion of the Performance Tests therefor.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B.</w:t>
        <w:tab/>
      </w:r>
      <w:r>
        <w:rPr>
          <w:sz w:val="24"/>
          <w:u w:val="single"/>
        </w:rPr>
        <w:t>Builder’s All Risks Insurance.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Coverage:</w:t>
        <w:tab/>
        <w:t>Covering all risks of physical loss or damage to (i) all permanent or temporary works of the Project (including temporary buildings, site huts and offices used for the purpose of the construction of the Project) and (ii) all Equipment at the Site intended for incorporation in the Facility, subject to policy exclusions and sub-limits normally applicable to this type of insurance.  Coverage to include the following endorsement items.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ab/>
        <w:tab/>
        <w:t>- coverage of resultant loss or damage arising from faulty design, materials or workmanship.</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t>- coverage for removal of debris;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t>- transit coverage, not covered under the insurance C.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t>- off-site storage coverage;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t>- cold and hot (operational) testing coverage; and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 Limit:</w:t>
        <w:tab/>
        <w:t>Not less than the Contract Price.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Deductible:</w:t>
        <w:tab/>
        <w:t>Not more than the following amounts: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t>- US$ 250,000</w:t>
        <w:tab/>
        <w:t>for all perils in respect of offshore pipelines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t>- US$ 250,000</w:t>
        <w:tab/>
        <w:t>for testing and commissioning</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t>- US$ 100,000</w:t>
        <w:tab/>
        <w:t>for the others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Duration:</w:t>
        <w:tab/>
        <w:t>Upon commencement of physical activities on the Site or delivery of Equipment to the Site, whichever is earlier, until the Module and the other components of the Project are turned over to the Owner following the successful completion of the Performance Tests therefor, plus thereafter maintenance coverage until the expiration of the Contractor’s warranty period for not exceeding 12 months.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C.</w:t>
        <w:tab/>
      </w:r>
      <w:r>
        <w:rPr>
          <w:sz w:val="24"/>
          <w:u w:val="single"/>
        </w:rPr>
        <w:t>Marine Cargo Insurance.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Coverage:</w:t>
        <w:tab/>
        <w:t>Covering all risks of physical loss or damage to Equipment occurring in transit to the Site, subject to policy exclusions and sub-limits normally applicable to this type of insurance.  Coverage to include the risks of war (on waters only), strikes, riots and civil commotion.</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Limit:</w:t>
        <w:tab/>
        <w:t>Not less than the CIF or CIP values of Equipment.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Deductible:</w:t>
        <w:tab/>
        <w:t>Not more than US$ 25,000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Duration:</w:t>
        <w:tab/>
        <w:t>Upon dispatch of Equipment from warehouse or factory for transit to the Site till delivery thereof to the Site.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D.</w:t>
        <w:tab/>
      </w:r>
      <w:r>
        <w:rPr>
          <w:sz w:val="24"/>
          <w:u w:val="single"/>
        </w:rPr>
        <w:t>Excess Liability Insurance.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 Coverage:</w:t>
        <w:tab/>
        <w:t>Same as the insurance A. above.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 Limit:</w:t>
        <w:tab/>
        <w:t>Combined single limit US$ 49,000,000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 Attachment point: US$ 1,000,000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 Duration:</w:t>
        <w:tab/>
        <w:t>Same as the insurance A. above.</w:t>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t>Attachment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t>Part 2</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sz w:val="24"/>
        </w:rPr>
      </w:pPr>
      <w:r>
        <w:rPr>
          <w:sz w:val="24"/>
        </w:rPr>
        <w:t>Insurance to be Obtained by Contractor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Without relieving or limiting the Contractor’s warranties or any other obligations contemplated under the Term Sheet to which this Attachment 4 is attached, the Contractor shall, at its own costs and expenses, obtain and maintain the following insurance A. to G. with such limits and on such terms as more fully outlined below.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All such insurance shall, to the extent that the laws and regulations in Mexico require the Contractor to do so, be placed with the insurance companies authorized to do business in Mexico, provided that said insurance companies are of recognized solvency and are reinsured by reinsurance companies of recognized solvency to the reasonable satisfaction by the Owner.</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Save to the extent that the Contractor is statutorily prevented from doing so, all such insurance shall name the Owner as additional insured as and to the extent that their respective interests may appear and shall waive the right of subrogation against the Owner (except for the case arising out of its willful misconduct).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All such insurance shall, at the reasonable request by the Owner, contain terms and conditions typical in project-financed projects (e.g. additional insured, loss payee, waiver of subrogation and notice provisions in favor of the Owner’s senior lenders).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w:t>
        <w:tab/>
      </w:r>
      <w:r>
        <w:rPr>
          <w:sz w:val="24"/>
          <w:u w:val="single"/>
        </w:rPr>
        <w:t>Workmen’s Compensation / Employers Liability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Coverage:</w:t>
        <w:tab/>
        <w:t>Covering bodily injury of persons employed or hired by the Contractor as required by laws where the Work is performed, including (irrespective of whether required by laws or not) employer’s liability.</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 Limit:</w:t>
        <w:tab/>
        <w:t>Workers Compensation - Statutory as required by law</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Limit:</w:t>
        <w:tab/>
        <w:t>Employers Liability - US$1,000,000 each accident/deceased.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 Duration:</w:t>
        <w:tab/>
        <w:t>At any time when the Work is performed.</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B.</w:t>
        <w:tab/>
      </w:r>
      <w:r>
        <w:rPr>
          <w:sz w:val="24"/>
          <w:u w:val="single"/>
        </w:rPr>
        <w:t>Comprehensive General Liability Insurance.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Coverage:</w:t>
        <w:tab/>
        <w:t>Covering legal and contractual liability for bodily injury and/or property damage arising out of execution of the Work anywhere in the world with the insured hazards of premises-operations and products &amp; completed operations.  This insurance shall be primary to any other liability insurance for offsite activities.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Limit:</w:t>
        <w:tab/>
        <w:t>Not less than US$ 1,000,000 as a combined single limit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 Deductible:</w:t>
        <w:tab/>
        <w:t>Not more than US$  10,000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Duration:</w:t>
        <w:tab/>
        <w:t xml:space="preserve">Upon commencement of the Work until the Project are turned over to the Owner following the successful completion of the Performance Tests therefor, plus thereafter coverage in respect of the insured hazards of products and completed operations until the expiration of the Contractor’s warranty period. </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C.</w:t>
        <w:tab/>
      </w:r>
      <w:r>
        <w:rPr>
          <w:sz w:val="24"/>
          <w:u w:val="single"/>
        </w:rPr>
        <w:t>Automobile Liability Insurance.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Coverage:</w:t>
        <w:tab/>
        <w:t>Covering legal liability for bodily injury and/or property damage arising out of the use of automobiles owned or hired by the Contractor or its subcontractors for their performance of the Work.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Limit:</w:t>
        <w:tab/>
        <w:t xml:space="preserve">Any amount as required by laws where such automobiles are used or US$ 1,000,000, whichever is higher for any one occurrence. </w:t>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Deductible:</w:t>
        <w:tab/>
        <w:t>Any amount as required by laws where the Work is performed or US$ 10,000, whichever is lesser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Duration:</w:t>
        <w:tab/>
        <w:t>At any time when the automobiles owned or hired by the Contractor or its subcontractors are used in performing the Work.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D.</w:t>
        <w:tab/>
      </w:r>
      <w:r>
        <w:rPr>
          <w:sz w:val="24"/>
          <w:u w:val="single"/>
        </w:rPr>
        <w:t>Excess Liability Insurance.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Coverage:</w:t>
        <w:tab/>
        <w:t>Same as the insurance B. above, but expressly including to cover employer’s liability and automobile liability in excess of the insurance A. and C. above.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Limit:</w:t>
        <w:tab/>
        <w:t>Not less than US$ 5,000,000 as a combined single limit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Deductible:</w:t>
        <w:tab/>
        <w:t>Policy limit(s) made available under the insurance A., B., and C. above.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Duration:</w:t>
        <w:tab/>
        <w:t>Same as the insurance B. above.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E.</w:t>
        <w:tab/>
      </w:r>
      <w:r>
        <w:rPr>
          <w:sz w:val="24"/>
          <w:u w:val="single"/>
        </w:rPr>
        <w:t>Hull &amp; Machinery Insurance.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Coverage:</w:t>
        <w:tab/>
        <w:t>Covering physical loss or damage to watercraft of any kind that is owned or hired by the Contractor or its subcontractors for use in the scope of the Work.  This insurance may be provided by the owner or operator of such a watercraft.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Limit:</w:t>
        <w:tab/>
        <w:t>Not less than the full replacement values of the watercraft.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Deductible:</w:t>
        <w:tab/>
        <w:t>Not more than US$ 25,000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tab/>
        <w:tab/>
        <w:tab/>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Duration:</w:t>
        <w:tab/>
        <w:t>At any time when the watercraft owned or hired by the Contractor or its subcontractors is used in the scope of the Work.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F.</w:t>
        <w:tab/>
      </w:r>
      <w:r>
        <w:rPr>
          <w:sz w:val="24"/>
          <w:u w:val="single"/>
        </w:rPr>
        <w:t>Protection &amp; Indemnity Insurance</w:t>
      </w:r>
      <w:r>
        <w:rPr>
          <w:sz w:val="24"/>
        </w:rPr>
        <w: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Coverage:</w:t>
        <w:tab/>
        <w:t>Covering legal liability for bodily injury and/or property damage arising out of the use of watercraft of any kind that is owned or hired by the Contractor or its subcontractors for use in the scope of the Work.  This insurance may be provided by the owner or operator of such a watercraft.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Limit:</w:t>
        <w:tab/>
        <w:t>US$  10,000,000 or the full values of the watercraft, whichever is higher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Deductible:</w:t>
        <w:tab/>
        <w:t>Not more than US$ 25,000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Duration:</w:t>
        <w:tab/>
        <w:t>At any time when the watercraft owned or hired by the Contractor or its subcontractors is used in the scope of the Work.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pPr>
      <w:r>
        <w:rPr>
          <w:sz w:val="24"/>
        </w:rPr>
        <w:t>G.</w:t>
        <w:tab/>
      </w:r>
      <w:r>
        <w:rPr>
          <w:sz w:val="24"/>
          <w:u w:val="single"/>
        </w:rPr>
        <w:t>Aircraft Liability Insurance.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u w:val="single"/>
        </w:rPr>
      </w:pPr>
      <w:r>
        <w:rPr>
          <w:sz w:val="24"/>
          <w:u w:val="single"/>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Coverage:</w:t>
        <w:tab/>
        <w:t>Covering legal liability for bodily injury (including that of the passengers) and/or property damage arising out of the use of aircraft of any kind that is owned or hired by the Contractor or its subcontractors for use in the scope of the Work.  This insurance may be provided by the owner or operator of such an aircraft.</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Limit:</w:t>
        <w:tab/>
        <w:t>Not less than US$ 10,000,000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Deductible:</w:t>
        <w:tab/>
        <w:t>Not more than US$ 10,000 for any one occurrence.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tab/>
        <w:t>- Duration:</w:t>
        <w:tab/>
        <w:t>At any time when the aircraft owned or hired by the Contractor or its subcontractors is used in the scope of the Work.</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both"/>
        <w:rPr>
          <w:sz w:val="24"/>
        </w:rPr>
      </w:pPr>
      <w:r>
        <w:rPr>
          <w:sz w:val="24"/>
        </w:rPr>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center"/>
        <w:rPr>
          <w:sz w:val="24"/>
        </w:rPr>
      </w:pPr>
      <w:r>
        <w:rPr>
          <w:sz w:val="24"/>
        </w:rPr>
        <w:t>Attachment 3</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center"/>
        <w:rPr>
          <w:sz w:val="24"/>
        </w:rPr>
      </w:pPr>
      <w:r>
        <w:rPr>
          <w:sz w:val="24"/>
        </w:rPr>
        <w:t>Milestone Payment Schedule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center"/>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center"/>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start="2160" w:end="0"/>
        <w:jc w:val="center"/>
        <w:rPr>
          <w:sz w:val="24"/>
        </w:rPr>
      </w:pPr>
      <w:r>
        <w:rPr>
          <w:sz w:val="24"/>
        </w:rPr>
        <w:t>[To come]</w:t>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hanging="2160" w:end="0"/>
        <w:jc w:val="both"/>
        <w:rPr>
          <w:sz w:val="24"/>
        </w:rPr>
      </w:pPr>
      <w:r>
        <w:rPr>
          <w:sz w:val="24"/>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rPr>
          <w:sz w:val="16"/>
        </w:rPr>
      </w:pPr>
      <w:r>
        <w:rPr>
          <w:sz w:val="16"/>
        </w:rPr>
      </w:r>
    </w:p>
    <w:sectPr>
      <w:headerReference w:type="default" r:id="rId2"/>
      <w:footerReference w:type="default" r:id="rId3"/>
      <w:type w:val="nextPage"/>
      <w:pgSz w:w="12240" w:h="15840"/>
      <w:pgMar w:left="1440" w:right="1440" w:gutter="0" w:header="1080" w:top="113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/mnt/main-storage/datasets/enron-docs/doc/epctermsheet.doc</w:t>
    </w:r>
    <w:r>
      <w:rPr/>
      <w:fldChar w:fldCharType="end"/>
    </w:r>
    <w:r>
      <mc:AlternateContent>
        <mc:Choice Requires="wps">
          <w:drawing>
            <wp:anchor behindDoc="0" distT="0" distB="0" distL="0" distR="0" simplePos="0" locked="0" layoutInCell="0" allowOverlap="1" relativeHeight="34">
              <wp:simplePos x="0" y="0"/>
              <wp:positionH relativeFrom="page">
                <wp:posOffset>3521075</wp:posOffset>
              </wp:positionH>
              <wp:positionV relativeFrom="page">
                <wp:posOffset>9601835</wp:posOffset>
              </wp:positionV>
              <wp:extent cx="36576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end"/>
      <w:rPr>
        <w:sz w:val="28"/>
      </w:rPr>
    </w:pPr>
    <w:r>
      <w:rPr>
        <w:sz w:val="28"/>
      </w:rPr>
      <w:t>DRAFT</w:t>
    </w:r>
  </w:p>
  <w:p>
    <w:pPr>
      <w:pStyle w:val="Normal"/>
      <w:widowControl/>
      <w:jc w:val="end"/>
      <w:rPr>
        <w:sz w:val="18"/>
      </w:rPr>
    </w:pPr>
    <w:r>
      <w:rPr>
        <w:sz w:val="18"/>
      </w:rPr>
      <w:t>9/9/99</w:t>
    </w:r>
  </w:p>
  <w:p>
    <w:pPr>
      <w:pStyle w:val="Normal"/>
      <w:widowControl/>
      <w:jc w:val="end"/>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2"/>
    </w:pPr>
    <w:rPr>
      <w:sz w:val="24"/>
      <w:u w:val="single"/>
    </w:rPr>
  </w:style>
  <w:style w:type="paragraph" w:styleId="Heading4">
    <w:name w:val="heading 4"/>
    <w:basedOn w:val="Normal"/>
    <w:next w:val="Normal"/>
    <w:qFormat/>
    <w:pPr>
      <w:keepNext w:val="true"/>
      <w:numPr>
        <w:ilvl w:val="3"/>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outlineLvl w:val="3"/>
    </w:pPr>
    <w:rPr>
      <w:sz w:val="24"/>
      <w:u w:val="single"/>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0" w:start="3600" w:end="0"/>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2000-08-25T14:22:00Z</dcterms:created>
  <dc:creator>appinst</dc:creator>
  <dc:description/>
  <dc:language>en-CA</dc:language>
  <cp:lastModifiedBy>kmann</cp:lastModifiedBy>
  <cp:lastPrinted>1999-09-09T11:26:00Z</cp:lastPrinted>
  <dcterms:modified xsi:type="dcterms:W3CDTF">2000-08-25T14:22:00Z</dcterms:modified>
  <cp:revision>2</cp:revision>
  <dc:subject/>
  <dc:title>TERM SHEET</dc:title>
</cp:coreProperties>
</file>