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sz w:val="28"/>
        </w:rPr>
        <w:t>ENRON PIPELINE COMPANY – ARGENTINA S.A.</w:t>
      </w:r>
    </w:p>
    <w:p>
      <w:pPr>
        <w:pStyle w:val="Normal"/>
        <w:jc w:val="center"/>
        <w:rPr>
          <w:b/>
          <w:sz w:val="24"/>
        </w:rPr>
      </w:pPr>
      <w:r>
        <w:rPr>
          <w:b/>
          <w:sz w:val="24"/>
        </w:rPr>
        <w:t>AUTHORIZED OFFICERS AND TRADERS</w:t>
      </w:r>
    </w:p>
    <w:p>
      <w:pPr>
        <w:pStyle w:val="Normal"/>
        <w:rPr>
          <w:b/>
          <w:sz w:val="22"/>
        </w:rPr>
      </w:pPr>
      <w:r>
        <w:rPr>
          <w:b/>
          <w:sz w:val="22"/>
        </w:rPr>
      </w:r>
    </w:p>
    <w:p>
      <w:pPr>
        <w:pStyle w:val="Normal"/>
        <w:rPr>
          <w:sz w:val="22"/>
        </w:rPr>
      </w:pPr>
      <w:r>
        <w:rPr>
          <w:sz w:val="22"/>
        </w:rPr>
      </w:r>
    </w:p>
    <w:p>
      <w:pPr>
        <w:pStyle w:val="Normal"/>
        <w:rPr>
          <w:b/>
          <w:sz w:val="22"/>
        </w:rPr>
      </w:pPr>
      <w:r>
        <w:rPr>
          <w:b/>
          <w:sz w:val="22"/>
        </w:rPr>
        <w:t>CORPORATE OFFICERS</w:t>
      </w:r>
    </w:p>
    <w:p>
      <w:pPr>
        <w:pStyle w:val="Normal"/>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4428"/>
        <w:gridCol w:w="5148"/>
      </w:tblGrid>
      <w:tr>
        <w:trPr/>
        <w:tc>
          <w:tcPr>
            <w:tcW w:w="4428" w:type="dxa"/>
            <w:tcBorders/>
          </w:tcPr>
          <w:p>
            <w:pPr>
              <w:pStyle w:val="Normal"/>
              <w:rPr>
                <w:b/>
                <w:sz w:val="22"/>
                <w:u w:val="single"/>
              </w:rPr>
            </w:pPr>
            <w:r>
              <w:rPr>
                <w:b/>
                <w:sz w:val="22"/>
                <w:u w:val="single"/>
              </w:rPr>
              <w:t>Name</w:t>
            </w:r>
          </w:p>
        </w:tc>
        <w:tc>
          <w:tcPr>
            <w:tcW w:w="5148" w:type="dxa"/>
            <w:tcBorders/>
          </w:tcPr>
          <w:p>
            <w:pPr>
              <w:pStyle w:val="Normal"/>
              <w:rPr>
                <w:b/>
                <w:sz w:val="22"/>
                <w:u w:val="single"/>
              </w:rPr>
            </w:pPr>
            <w:r>
              <w:rPr>
                <w:b/>
                <w:sz w:val="22"/>
                <w:u w:val="single"/>
              </w:rPr>
              <w:t>Title</w:t>
            </w:r>
          </w:p>
        </w:tc>
      </w:tr>
      <w:tr>
        <w:trPr/>
        <w:tc>
          <w:tcPr>
            <w:tcW w:w="4428" w:type="dxa"/>
            <w:tcBorders/>
          </w:tcPr>
          <w:p>
            <w:pPr>
              <w:pStyle w:val="Normal"/>
              <w:snapToGrid w:val="false"/>
              <w:rPr>
                <w:b/>
                <w:sz w:val="22"/>
                <w:u w:val="single"/>
              </w:rPr>
            </w:pPr>
            <w:r>
              <w:rPr>
                <w:b/>
                <w:sz w:val="22"/>
                <w:u w:val="single"/>
              </w:rPr>
            </w:r>
          </w:p>
        </w:tc>
        <w:tc>
          <w:tcPr>
            <w:tcW w:w="5148" w:type="dxa"/>
            <w:tcBorders/>
          </w:tcPr>
          <w:p>
            <w:pPr>
              <w:pStyle w:val="Normal"/>
              <w:snapToGrid w:val="false"/>
              <w:jc w:val="center"/>
              <w:rPr>
                <w:sz w:val="22"/>
                <w:u w:val="single"/>
              </w:rPr>
            </w:pPr>
            <w:r>
              <w:rPr>
                <w:sz w:val="22"/>
                <w:u w:val="single"/>
              </w:rPr>
            </w:r>
          </w:p>
        </w:tc>
      </w:tr>
      <w:tr>
        <w:trPr/>
        <w:tc>
          <w:tcPr>
            <w:tcW w:w="4428" w:type="dxa"/>
            <w:tcBorders/>
          </w:tcPr>
          <w:p>
            <w:pPr>
              <w:pStyle w:val="Normal"/>
              <w:rPr>
                <w:sz w:val="22"/>
              </w:rPr>
            </w:pPr>
            <w:r>
              <w:rPr>
                <w:sz w:val="22"/>
              </w:rPr>
              <w:t>Eduardo O. Quintana</w:t>
            </w:r>
          </w:p>
        </w:tc>
        <w:tc>
          <w:tcPr>
            <w:tcW w:w="5148" w:type="dxa"/>
            <w:tcBorders/>
          </w:tcPr>
          <w:p>
            <w:pPr>
              <w:pStyle w:val="Normal"/>
              <w:rPr>
                <w:sz w:val="22"/>
              </w:rPr>
            </w:pPr>
            <w:r>
              <w:rPr>
                <w:sz w:val="22"/>
              </w:rPr>
              <w:t>President</w:t>
            </w:r>
          </w:p>
        </w:tc>
      </w:tr>
      <w:tr>
        <w:trPr/>
        <w:tc>
          <w:tcPr>
            <w:tcW w:w="4428" w:type="dxa"/>
            <w:tcBorders/>
          </w:tcPr>
          <w:p>
            <w:pPr>
              <w:pStyle w:val="Normal"/>
              <w:rPr>
                <w:sz w:val="22"/>
              </w:rPr>
            </w:pPr>
            <w:r>
              <w:rPr>
                <w:sz w:val="22"/>
              </w:rPr>
              <w:t>Jose de la Fuente</w:t>
            </w:r>
          </w:p>
        </w:tc>
        <w:tc>
          <w:tcPr>
            <w:tcW w:w="5148" w:type="dxa"/>
            <w:tcBorders/>
          </w:tcPr>
          <w:p>
            <w:pPr>
              <w:pStyle w:val="Normal"/>
              <w:rPr>
                <w:sz w:val="22"/>
              </w:rPr>
            </w:pPr>
            <w:r>
              <w:rPr>
                <w:sz w:val="22"/>
              </w:rPr>
              <w:t>Vice President</w:t>
            </w:r>
          </w:p>
        </w:tc>
      </w:tr>
    </w:tbl>
    <w:p>
      <w:pPr>
        <w:pStyle w:val="Normal"/>
        <w:rPr>
          <w:sz w:val="22"/>
        </w:rPr>
      </w:pPr>
      <w:r>
        <w:rPr>
          <w:sz w:val="22"/>
        </w:rPr>
      </w:r>
    </w:p>
    <w:p>
      <w:pPr>
        <w:pStyle w:val="Normal"/>
        <w:rPr>
          <w:sz w:val="22"/>
        </w:rPr>
      </w:pPr>
      <w:r>
        <w:rPr>
          <w:sz w:val="22"/>
        </w:rPr>
      </w:r>
    </w:p>
    <w:tbl>
      <w:tblPr>
        <w:tblW w:w="9800" w:type="dxa"/>
        <w:jc w:val="start"/>
        <w:tblInd w:w="0" w:type="dxa"/>
        <w:tblLayout w:type="fixed"/>
        <w:tblCellMar>
          <w:top w:w="0" w:type="dxa"/>
          <w:start w:w="30" w:type="dxa"/>
          <w:bottom w:w="0" w:type="dxa"/>
          <w:end w:w="30" w:type="dxa"/>
        </w:tblCellMar>
      </w:tblPr>
      <w:tblGrid>
        <w:gridCol w:w="2730"/>
        <w:gridCol w:w="2238"/>
        <w:gridCol w:w="1882"/>
        <w:gridCol w:w="83"/>
        <w:gridCol w:w="1678"/>
        <w:gridCol w:w="94"/>
        <w:gridCol w:w="1095"/>
      </w:tblGrid>
      <w:tr>
        <w:trPr>
          <w:trHeight w:val="259" w:hRule="atLeast"/>
        </w:trPr>
        <w:tc>
          <w:tcPr>
            <w:tcW w:w="9800" w:type="dxa"/>
            <w:gridSpan w:val="7"/>
            <w:tcBorders/>
          </w:tcPr>
          <w:p>
            <w:pPr>
              <w:pStyle w:val="Normal"/>
              <w:rPr/>
            </w:pPr>
            <w:r>
              <w:rPr>
                <w:b/>
                <w:color w:val="000000"/>
                <w:sz w:val="22"/>
              </w:rPr>
              <w:t>TRADING AUTHORIZATION</w:t>
            </w:r>
            <w:r>
              <w:rPr>
                <w:color w:val="000000"/>
                <w:sz w:val="22"/>
              </w:rPr>
              <w:t xml:space="preserve"> - The following individuals are authorized to enter orders on behalf of the customer:</w:t>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r>
      <w:tr>
        <w:trPr>
          <w:trHeight w:val="259" w:hRule="atLeast"/>
        </w:trPr>
        <w:tc>
          <w:tcPr>
            <w:tcW w:w="2730" w:type="dxa"/>
            <w:tcBorders/>
          </w:tcPr>
          <w:p>
            <w:pPr>
              <w:pStyle w:val="Normal"/>
              <w:snapToGrid w:val="false"/>
              <w:jc w:val="end"/>
              <w:rPr>
                <w:color w:val="000000"/>
                <w:sz w:val="22"/>
              </w:rPr>
            </w:pPr>
            <w:r>
              <w:rPr>
                <w:color w:val="000000"/>
                <w:sz w:val="22"/>
              </w:rPr>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jc w:val="end"/>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snapToGrid w:val="false"/>
              <w:jc w:val="end"/>
              <w:rPr>
                <w:color w:val="000000"/>
                <w:sz w:val="22"/>
              </w:rPr>
            </w:pPr>
            <w:r>
              <w:rPr>
                <w:color w:val="000000"/>
                <w:sz w:val="22"/>
              </w:rPr>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b/>
                <w:color w:val="000000"/>
                <w:sz w:val="22"/>
                <w:u w:val="single"/>
              </w:rPr>
            </w:pPr>
            <w:r>
              <w:rPr>
                <w:b/>
                <w:color w:val="000000"/>
                <w:sz w:val="22"/>
                <w:u w:val="single"/>
              </w:rPr>
              <w:t>Name</w:t>
            </w:r>
          </w:p>
        </w:tc>
        <w:tc>
          <w:tcPr>
            <w:tcW w:w="2238" w:type="dxa"/>
            <w:tcBorders/>
          </w:tcPr>
          <w:p>
            <w:pPr>
              <w:pStyle w:val="Normal"/>
              <w:snapToGrid w:val="false"/>
              <w:jc w:val="end"/>
              <w:rPr>
                <w:b/>
                <w:color w:val="000000"/>
                <w:sz w:val="22"/>
                <w:u w:val="single"/>
              </w:rPr>
            </w:pPr>
            <w:r>
              <w:rPr>
                <w:b/>
                <w:color w:val="000000"/>
                <w:sz w:val="22"/>
                <w:u w:val="single"/>
              </w:rPr>
            </w:r>
          </w:p>
        </w:tc>
        <w:tc>
          <w:tcPr>
            <w:tcW w:w="1882" w:type="dxa"/>
            <w:tcBorders/>
          </w:tcPr>
          <w:p>
            <w:pPr>
              <w:pStyle w:val="Normal"/>
              <w:snapToGrid w:val="false"/>
              <w:rPr>
                <w:b/>
                <w:color w:val="000000"/>
                <w:sz w:val="22"/>
                <w:u w:val="single"/>
              </w:rPr>
            </w:pPr>
            <w:r>
              <w:rPr>
                <w:b/>
                <w:color w:val="000000"/>
                <w:sz w:val="22"/>
                <w:u w:val="single"/>
              </w:rPr>
            </w:r>
          </w:p>
        </w:tc>
        <w:tc>
          <w:tcPr>
            <w:tcW w:w="83" w:type="dxa"/>
            <w:tcBorders/>
          </w:tcPr>
          <w:p>
            <w:pPr>
              <w:pStyle w:val="Normal"/>
              <w:snapToGrid w:val="false"/>
              <w:jc w:val="end"/>
              <w:rPr>
                <w:b/>
                <w:color w:val="000000"/>
                <w:sz w:val="22"/>
                <w:u w:val="single"/>
              </w:rPr>
            </w:pPr>
            <w:r>
              <w:rPr>
                <w:b/>
                <w:color w:val="000000"/>
                <w:sz w:val="22"/>
                <w:u w:val="single"/>
              </w:rPr>
            </w:r>
          </w:p>
        </w:tc>
        <w:tc>
          <w:tcPr>
            <w:tcW w:w="1678" w:type="dxa"/>
            <w:tcBorders/>
          </w:tcPr>
          <w:p>
            <w:pPr>
              <w:pStyle w:val="Normal"/>
              <w:rPr>
                <w:b/>
                <w:color w:val="000000"/>
                <w:sz w:val="22"/>
                <w:u w:val="single"/>
              </w:rPr>
            </w:pPr>
            <w:r>
              <w:rPr>
                <w:b/>
                <w:color w:val="000000"/>
                <w:sz w:val="22"/>
                <w:u w:val="single"/>
              </w:rPr>
              <w:t>Phone Number</w:t>
            </w:r>
          </w:p>
        </w:tc>
        <w:tc>
          <w:tcPr>
            <w:tcW w:w="94" w:type="dxa"/>
            <w:tcBorders/>
          </w:tcPr>
          <w:p>
            <w:pPr>
              <w:pStyle w:val="Normal"/>
              <w:snapToGrid w:val="false"/>
              <w:jc w:val="end"/>
              <w:rPr>
                <w:b/>
                <w:color w:val="000000"/>
                <w:sz w:val="22"/>
                <w:u w:val="single"/>
              </w:rPr>
            </w:pPr>
            <w:r>
              <w:rPr>
                <w:b/>
                <w:color w:val="000000"/>
                <w:sz w:val="22"/>
                <w:u w:val="single"/>
              </w:rPr>
            </w:r>
          </w:p>
        </w:tc>
        <w:tc>
          <w:tcPr>
            <w:tcW w:w="1095" w:type="dxa"/>
            <w:tcBorders/>
            <w:tcMar>
              <w:start w:w="0" w:type="dxa"/>
              <w:end w:w="0" w:type="dxa"/>
            </w:tcMar>
          </w:tcPr>
          <w:p>
            <w:pPr>
              <w:pStyle w:val="Normal"/>
              <w:snapToGrid w:val="false"/>
              <w:rPr>
                <w:b/>
                <w:color w:val="000000"/>
                <w:sz w:val="22"/>
                <w:u w:val="single"/>
              </w:rPr>
            </w:pPr>
            <w:r>
              <w:rPr>
                <w:b/>
                <w:color w:val="000000"/>
                <w:sz w:val="22"/>
                <w:u w:val="single"/>
              </w:rPr>
            </w:r>
          </w:p>
        </w:tc>
      </w:tr>
      <w:tr>
        <w:trPr>
          <w:trHeight w:val="259" w:hRule="atLeast"/>
        </w:trPr>
        <w:tc>
          <w:tcPr>
            <w:tcW w:w="2730" w:type="dxa"/>
            <w:tcBorders/>
          </w:tcPr>
          <w:p>
            <w:pPr>
              <w:pStyle w:val="Normal"/>
              <w:snapToGrid w:val="false"/>
              <w:jc w:val="end"/>
              <w:rPr>
                <w:color w:val="000000"/>
                <w:sz w:val="22"/>
                <w:u w:val="single"/>
              </w:rPr>
            </w:pPr>
            <w:r>
              <w:rPr>
                <w:color w:val="000000"/>
                <w:sz w:val="22"/>
                <w:u w:val="single"/>
              </w:rPr>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jc w:val="end"/>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snapToGrid w:val="false"/>
              <w:jc w:val="end"/>
              <w:rPr>
                <w:color w:val="000000"/>
                <w:sz w:val="22"/>
              </w:rPr>
            </w:pPr>
            <w:r>
              <w:rPr>
                <w:color w:val="000000"/>
                <w:sz w:val="22"/>
              </w:rPr>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Bruce K. Harris</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853-0950</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John M. Greene</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853-5355</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Gary J. Hickerson</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853-7617</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Jeffrey P. Kinneman</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853-5398</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Greg Whalley</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853-5220</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bl>
    <w:p>
      <w:pPr>
        <w:pStyle w:val="Normal"/>
        <w:rPr>
          <w:sz w:val="22"/>
        </w:rPr>
      </w:pPr>
      <w:r>
        <w:rPr>
          <w:sz w:val="22"/>
        </w:rPr>
      </w:r>
    </w:p>
    <w:p>
      <w:pPr>
        <w:pStyle w:val="Normal"/>
        <w:rPr>
          <w:sz w:val="22"/>
        </w:rPr>
      </w:pPr>
      <w:r>
        <w:rPr>
          <w:sz w:val="22"/>
        </w:rPr>
      </w:r>
    </w:p>
    <w:p>
      <w:pPr>
        <w:pStyle w:val="Normal"/>
        <w:keepNext w:val="true"/>
        <w:rPr/>
      </w:pPr>
      <w:r>
        <w:rPr>
          <w:b/>
          <w:sz w:val="22"/>
        </w:rPr>
        <w:t xml:space="preserve">CONFIRMATIONS </w:t>
      </w:r>
      <w:r>
        <w:rPr>
          <w:sz w:val="22"/>
        </w:rPr>
        <w:t>- The following individual(s) shall receive written copies of all confirmations and statements:</w:t>
      </w:r>
    </w:p>
    <w:p>
      <w:pPr>
        <w:pStyle w:val="Normal"/>
        <w:keepNext w:val="true"/>
        <w:rPr>
          <w:sz w:val="22"/>
        </w:rPr>
      </w:pPr>
      <w:r>
        <w:rPr>
          <w:sz w:val="22"/>
        </w:rPr>
      </w:r>
    </w:p>
    <w:p>
      <w:pPr>
        <w:pStyle w:val="Normal"/>
        <w:keepNext w:val="true"/>
        <w:rPr>
          <w:sz w:val="22"/>
        </w:rPr>
      </w:pPr>
      <w:r>
        <w:rPr>
          <w:sz w:val="22"/>
        </w:rPr>
        <w:t>All confirmations relating to securities trading should be sent to our clearing broker:  Morgan Stanley &amp; Co. Incorporated.  Any confirmations relating to over-the-counter derivative transactions should be sent to the following individuals:</w:t>
      </w:r>
    </w:p>
    <w:p>
      <w:pPr>
        <w:pStyle w:val="Normal"/>
        <w:keepNext w:val="true"/>
        <w:rPr>
          <w:sz w:val="22"/>
        </w:rPr>
      </w:pPr>
      <w:r>
        <w:rPr>
          <w:sz w:val="22"/>
        </w:rPr>
      </w:r>
    </w:p>
    <w:tbl>
      <w:tblPr>
        <w:tblW w:w="7668" w:type="dxa"/>
        <w:jc w:val="start"/>
        <w:tblInd w:w="0" w:type="dxa"/>
        <w:tblLayout w:type="fixed"/>
        <w:tblCellMar>
          <w:top w:w="0" w:type="dxa"/>
          <w:start w:w="108" w:type="dxa"/>
          <w:bottom w:w="0" w:type="dxa"/>
          <w:end w:w="108" w:type="dxa"/>
        </w:tblCellMar>
      </w:tblPr>
      <w:tblGrid>
        <w:gridCol w:w="2448"/>
        <w:gridCol w:w="1980"/>
        <w:gridCol w:w="3240"/>
      </w:tblGrid>
      <w:tr>
        <w:trPr/>
        <w:tc>
          <w:tcPr>
            <w:tcW w:w="2448" w:type="dxa"/>
            <w:tcBorders/>
          </w:tcPr>
          <w:p>
            <w:pPr>
              <w:pStyle w:val="Normal"/>
              <w:keepNext w:val="true"/>
              <w:rPr>
                <w:b/>
                <w:sz w:val="22"/>
                <w:u w:val="single"/>
              </w:rPr>
            </w:pPr>
            <w:r>
              <w:rPr>
                <w:b/>
                <w:sz w:val="22"/>
                <w:u w:val="single"/>
              </w:rPr>
              <w:t>Name</w:t>
            </w:r>
          </w:p>
        </w:tc>
        <w:tc>
          <w:tcPr>
            <w:tcW w:w="1980" w:type="dxa"/>
            <w:tcBorders/>
          </w:tcPr>
          <w:p>
            <w:pPr>
              <w:pStyle w:val="Normal"/>
              <w:keepNext w:val="true"/>
              <w:rPr>
                <w:b/>
                <w:sz w:val="22"/>
                <w:u w:val="single"/>
              </w:rPr>
            </w:pPr>
            <w:r>
              <w:rPr>
                <w:b/>
                <w:sz w:val="22"/>
                <w:u w:val="single"/>
              </w:rPr>
              <w:t>Phone Number</w:t>
            </w:r>
          </w:p>
        </w:tc>
        <w:tc>
          <w:tcPr>
            <w:tcW w:w="3240" w:type="dxa"/>
            <w:tcBorders/>
          </w:tcPr>
          <w:p>
            <w:pPr>
              <w:pStyle w:val="Normal"/>
              <w:keepNext w:val="true"/>
              <w:rPr>
                <w:b/>
                <w:sz w:val="22"/>
                <w:u w:val="single"/>
              </w:rPr>
            </w:pPr>
            <w:r>
              <w:rPr>
                <w:b/>
                <w:sz w:val="22"/>
                <w:u w:val="single"/>
              </w:rPr>
              <w:t>Fax Number</w:t>
            </w:r>
          </w:p>
        </w:tc>
      </w:tr>
      <w:tr>
        <w:trPr/>
        <w:tc>
          <w:tcPr>
            <w:tcW w:w="2448" w:type="dxa"/>
            <w:tcBorders/>
          </w:tcPr>
          <w:p>
            <w:pPr>
              <w:pStyle w:val="Normal"/>
              <w:keepNext w:val="true"/>
              <w:snapToGrid w:val="false"/>
              <w:rPr>
                <w:b/>
                <w:sz w:val="22"/>
                <w:u w:val="single"/>
              </w:rPr>
            </w:pPr>
            <w:r>
              <w:rPr>
                <w:b/>
                <w:sz w:val="22"/>
                <w:u w:val="single"/>
              </w:rPr>
            </w:r>
          </w:p>
        </w:tc>
        <w:tc>
          <w:tcPr>
            <w:tcW w:w="1980" w:type="dxa"/>
            <w:tcBorders/>
          </w:tcPr>
          <w:p>
            <w:pPr>
              <w:pStyle w:val="Normal"/>
              <w:keepNext w:val="true"/>
              <w:snapToGrid w:val="false"/>
              <w:rPr>
                <w:sz w:val="22"/>
                <w:u w:val="single"/>
              </w:rPr>
            </w:pPr>
            <w:r>
              <w:rPr>
                <w:sz w:val="22"/>
                <w:u w:val="single"/>
              </w:rPr>
            </w:r>
          </w:p>
        </w:tc>
        <w:tc>
          <w:tcPr>
            <w:tcW w:w="3240" w:type="dxa"/>
            <w:tcBorders/>
          </w:tcPr>
          <w:p>
            <w:pPr>
              <w:pStyle w:val="Normal"/>
              <w:keepNext w:val="true"/>
              <w:snapToGrid w:val="false"/>
              <w:ind w:end="1332"/>
              <w:rPr>
                <w:sz w:val="22"/>
                <w:u w:val="single"/>
              </w:rPr>
            </w:pPr>
            <w:r>
              <w:rPr>
                <w:sz w:val="22"/>
                <w:u w:val="single"/>
              </w:rPr>
            </w:r>
          </w:p>
        </w:tc>
      </w:tr>
      <w:tr>
        <w:trPr/>
        <w:tc>
          <w:tcPr>
            <w:tcW w:w="2448" w:type="dxa"/>
            <w:tcBorders/>
          </w:tcPr>
          <w:p>
            <w:pPr>
              <w:pStyle w:val="Normal"/>
              <w:keepNext w:val="true"/>
              <w:rPr>
                <w:color w:val="000000"/>
                <w:sz w:val="22"/>
              </w:rPr>
            </w:pPr>
            <w:r>
              <w:rPr>
                <w:color w:val="000000"/>
                <w:sz w:val="22"/>
              </w:rPr>
              <w:t>Sheila M. Glover</w:t>
            </w:r>
          </w:p>
        </w:tc>
        <w:tc>
          <w:tcPr>
            <w:tcW w:w="1980" w:type="dxa"/>
            <w:tcBorders/>
          </w:tcPr>
          <w:p>
            <w:pPr>
              <w:pStyle w:val="Normal"/>
              <w:keepNext w:val="true"/>
              <w:rPr>
                <w:color w:val="000000"/>
                <w:sz w:val="22"/>
              </w:rPr>
            </w:pPr>
            <w:r>
              <w:rPr>
                <w:color w:val="000000"/>
                <w:sz w:val="22"/>
              </w:rPr>
              <w:t>(713) 853-3210</w:t>
            </w:r>
          </w:p>
        </w:tc>
        <w:tc>
          <w:tcPr>
            <w:tcW w:w="3240" w:type="dxa"/>
            <w:tcBorders/>
          </w:tcPr>
          <w:p>
            <w:pPr>
              <w:pStyle w:val="Normal"/>
              <w:keepNext w:val="true"/>
              <w:rPr>
                <w:color w:val="000000"/>
                <w:sz w:val="22"/>
              </w:rPr>
            </w:pPr>
            <w:r>
              <w:rPr>
                <w:color w:val="000000"/>
                <w:sz w:val="22"/>
              </w:rPr>
              <w:t>(713) 646-2196</w:t>
            </w:r>
          </w:p>
        </w:tc>
      </w:tr>
      <w:tr>
        <w:trPr/>
        <w:tc>
          <w:tcPr>
            <w:tcW w:w="2448" w:type="dxa"/>
            <w:tcBorders/>
          </w:tcPr>
          <w:p>
            <w:pPr>
              <w:pStyle w:val="Normal"/>
              <w:keepNext w:val="true"/>
              <w:rPr>
                <w:color w:val="000000"/>
                <w:sz w:val="22"/>
              </w:rPr>
            </w:pPr>
            <w:r>
              <w:rPr>
                <w:color w:val="000000"/>
                <w:sz w:val="22"/>
              </w:rPr>
              <w:t>Bennett Kaufman</w:t>
            </w:r>
          </w:p>
        </w:tc>
        <w:tc>
          <w:tcPr>
            <w:tcW w:w="1980" w:type="dxa"/>
            <w:tcBorders/>
          </w:tcPr>
          <w:p>
            <w:pPr>
              <w:pStyle w:val="Normal"/>
              <w:keepNext w:val="true"/>
              <w:rPr>
                <w:color w:val="000000"/>
                <w:sz w:val="22"/>
              </w:rPr>
            </w:pPr>
            <w:r>
              <w:rPr>
                <w:color w:val="000000"/>
                <w:sz w:val="22"/>
              </w:rPr>
              <w:t>(713) 853-5020</w:t>
            </w:r>
          </w:p>
        </w:tc>
        <w:tc>
          <w:tcPr>
            <w:tcW w:w="3240" w:type="dxa"/>
            <w:tcBorders/>
          </w:tcPr>
          <w:p>
            <w:pPr>
              <w:pStyle w:val="Normal"/>
              <w:keepNext w:val="true"/>
              <w:rPr>
                <w:color w:val="000000"/>
                <w:sz w:val="22"/>
              </w:rPr>
            </w:pPr>
            <w:r>
              <w:rPr>
                <w:color w:val="000000"/>
                <w:sz w:val="22"/>
              </w:rPr>
              <w:t>(713) 646-2196</w:t>
            </w:r>
          </w:p>
        </w:tc>
      </w:tr>
    </w:tbl>
    <w:p>
      <w:pPr>
        <w:pStyle w:val="Normal"/>
        <w:rPr>
          <w:b/>
          <w:sz w:val="22"/>
        </w:rPr>
      </w:pPr>
      <w:r>
        <w:rPr>
          <w:b/>
          <w:sz w:val="22"/>
        </w:rPr>
      </w:r>
    </w:p>
    <w:p>
      <w:pPr>
        <w:pStyle w:val="Normal"/>
        <w:rPr>
          <w:b/>
          <w:sz w:val="22"/>
        </w:rPr>
      </w:pPr>
      <w:r>
        <w:rPr>
          <w:b/>
          <w:sz w:val="22"/>
        </w:rPr>
      </w:r>
    </w:p>
    <w:p>
      <w:pPr>
        <w:pStyle w:val="Normal"/>
        <w:keepNext w:val="true"/>
        <w:rPr>
          <w:b/>
          <w:sz w:val="22"/>
        </w:rPr>
      </w:pPr>
      <w:r>
        <w:rPr>
          <w:b/>
          <w:sz w:val="22"/>
        </w:rPr>
        <w:t>MARGIN CONTACT</w:t>
      </w:r>
    </w:p>
    <w:p>
      <w:pPr>
        <w:pStyle w:val="Normal"/>
        <w:keepNext w:val="true"/>
        <w:rPr>
          <w:b/>
          <w:sz w:val="22"/>
        </w:rPr>
      </w:pPr>
      <w:r>
        <w:rPr>
          <w:b/>
          <w:sz w:val="22"/>
        </w:rPr>
      </w:r>
    </w:p>
    <w:tbl>
      <w:tblPr>
        <w:tblW w:w="7668" w:type="dxa"/>
        <w:jc w:val="start"/>
        <w:tblInd w:w="0" w:type="dxa"/>
        <w:tblLayout w:type="fixed"/>
        <w:tblCellMar>
          <w:top w:w="0" w:type="dxa"/>
          <w:start w:w="108" w:type="dxa"/>
          <w:bottom w:w="0" w:type="dxa"/>
          <w:end w:w="108" w:type="dxa"/>
        </w:tblCellMar>
      </w:tblPr>
      <w:tblGrid>
        <w:gridCol w:w="2448"/>
        <w:gridCol w:w="1980"/>
        <w:gridCol w:w="3240"/>
      </w:tblGrid>
      <w:tr>
        <w:trPr/>
        <w:tc>
          <w:tcPr>
            <w:tcW w:w="2448" w:type="dxa"/>
            <w:tcBorders/>
          </w:tcPr>
          <w:p>
            <w:pPr>
              <w:pStyle w:val="Normal"/>
              <w:keepNext w:val="true"/>
              <w:rPr>
                <w:b/>
                <w:sz w:val="22"/>
                <w:u w:val="single"/>
              </w:rPr>
            </w:pPr>
            <w:r>
              <w:rPr>
                <w:b/>
                <w:sz w:val="22"/>
                <w:u w:val="single"/>
              </w:rPr>
              <w:t>Name</w:t>
            </w:r>
          </w:p>
        </w:tc>
        <w:tc>
          <w:tcPr>
            <w:tcW w:w="1980" w:type="dxa"/>
            <w:tcBorders/>
          </w:tcPr>
          <w:p>
            <w:pPr>
              <w:pStyle w:val="Normal"/>
              <w:keepNext w:val="true"/>
              <w:rPr>
                <w:b/>
                <w:sz w:val="22"/>
                <w:u w:val="single"/>
              </w:rPr>
            </w:pPr>
            <w:r>
              <w:rPr>
                <w:b/>
                <w:sz w:val="22"/>
                <w:u w:val="single"/>
              </w:rPr>
              <w:t>Phone Number</w:t>
            </w:r>
          </w:p>
        </w:tc>
        <w:tc>
          <w:tcPr>
            <w:tcW w:w="3240" w:type="dxa"/>
            <w:tcBorders/>
          </w:tcPr>
          <w:p>
            <w:pPr>
              <w:pStyle w:val="Normal"/>
              <w:keepNext w:val="true"/>
              <w:rPr>
                <w:b/>
                <w:sz w:val="22"/>
                <w:u w:val="single"/>
              </w:rPr>
            </w:pPr>
            <w:r>
              <w:rPr>
                <w:b/>
                <w:sz w:val="22"/>
                <w:u w:val="single"/>
              </w:rPr>
              <w:t>Fax Number</w:t>
            </w:r>
          </w:p>
        </w:tc>
      </w:tr>
      <w:tr>
        <w:trPr/>
        <w:tc>
          <w:tcPr>
            <w:tcW w:w="2448" w:type="dxa"/>
            <w:tcBorders/>
          </w:tcPr>
          <w:p>
            <w:pPr>
              <w:pStyle w:val="Normal"/>
              <w:keepNext w:val="true"/>
              <w:snapToGrid w:val="false"/>
              <w:rPr>
                <w:b/>
                <w:sz w:val="22"/>
                <w:u w:val="single"/>
              </w:rPr>
            </w:pPr>
            <w:r>
              <w:rPr>
                <w:b/>
                <w:sz w:val="22"/>
                <w:u w:val="single"/>
              </w:rPr>
            </w:r>
          </w:p>
        </w:tc>
        <w:tc>
          <w:tcPr>
            <w:tcW w:w="1980" w:type="dxa"/>
            <w:tcBorders/>
          </w:tcPr>
          <w:p>
            <w:pPr>
              <w:pStyle w:val="Normal"/>
              <w:keepNext w:val="true"/>
              <w:snapToGrid w:val="false"/>
              <w:rPr>
                <w:sz w:val="22"/>
                <w:u w:val="single"/>
              </w:rPr>
            </w:pPr>
            <w:r>
              <w:rPr>
                <w:sz w:val="22"/>
                <w:u w:val="single"/>
              </w:rPr>
            </w:r>
          </w:p>
        </w:tc>
        <w:tc>
          <w:tcPr>
            <w:tcW w:w="3240" w:type="dxa"/>
            <w:tcBorders/>
          </w:tcPr>
          <w:p>
            <w:pPr>
              <w:pStyle w:val="Normal"/>
              <w:keepNext w:val="true"/>
              <w:snapToGrid w:val="false"/>
              <w:ind w:end="1332"/>
              <w:rPr>
                <w:sz w:val="22"/>
                <w:u w:val="single"/>
              </w:rPr>
            </w:pPr>
            <w:r>
              <w:rPr>
                <w:sz w:val="22"/>
                <w:u w:val="single"/>
              </w:rPr>
            </w:r>
          </w:p>
        </w:tc>
      </w:tr>
      <w:tr>
        <w:trPr/>
        <w:tc>
          <w:tcPr>
            <w:tcW w:w="2448" w:type="dxa"/>
            <w:tcBorders/>
          </w:tcPr>
          <w:p>
            <w:pPr>
              <w:pStyle w:val="Normal"/>
              <w:keepNext w:val="true"/>
              <w:rPr>
                <w:color w:val="000000"/>
                <w:sz w:val="22"/>
              </w:rPr>
            </w:pPr>
            <w:r>
              <w:rPr>
                <w:color w:val="000000"/>
                <w:sz w:val="22"/>
              </w:rPr>
              <w:t>Sheila M. Glover</w:t>
            </w:r>
          </w:p>
        </w:tc>
        <w:tc>
          <w:tcPr>
            <w:tcW w:w="1980" w:type="dxa"/>
            <w:tcBorders/>
          </w:tcPr>
          <w:p>
            <w:pPr>
              <w:pStyle w:val="Normal"/>
              <w:keepNext w:val="true"/>
              <w:rPr>
                <w:color w:val="000000"/>
                <w:sz w:val="22"/>
              </w:rPr>
            </w:pPr>
            <w:r>
              <w:rPr>
                <w:color w:val="000000"/>
                <w:sz w:val="22"/>
              </w:rPr>
              <w:t>(713) 853-3210</w:t>
            </w:r>
          </w:p>
        </w:tc>
        <w:tc>
          <w:tcPr>
            <w:tcW w:w="3240" w:type="dxa"/>
            <w:tcBorders/>
          </w:tcPr>
          <w:p>
            <w:pPr>
              <w:pStyle w:val="Normal"/>
              <w:keepNext w:val="true"/>
              <w:rPr>
                <w:color w:val="000000"/>
                <w:sz w:val="22"/>
              </w:rPr>
            </w:pPr>
            <w:r>
              <w:rPr>
                <w:color w:val="000000"/>
                <w:sz w:val="22"/>
              </w:rPr>
              <w:t>(713) 646-2196</w:t>
            </w:r>
          </w:p>
        </w:tc>
      </w:tr>
      <w:tr>
        <w:trPr/>
        <w:tc>
          <w:tcPr>
            <w:tcW w:w="2448" w:type="dxa"/>
            <w:tcBorders/>
          </w:tcPr>
          <w:p>
            <w:pPr>
              <w:pStyle w:val="Normal"/>
              <w:keepNext w:val="true"/>
              <w:rPr>
                <w:sz w:val="22"/>
                <w:u w:val="single"/>
              </w:rPr>
            </w:pPr>
            <w:r>
              <w:rPr>
                <w:color w:val="000000"/>
                <w:sz w:val="22"/>
              </w:rPr>
              <w:t>Bennett Kaufman</w:t>
            </w:r>
          </w:p>
        </w:tc>
        <w:tc>
          <w:tcPr>
            <w:tcW w:w="1980" w:type="dxa"/>
            <w:tcBorders/>
          </w:tcPr>
          <w:p>
            <w:pPr>
              <w:pStyle w:val="Normal"/>
              <w:keepNext w:val="true"/>
              <w:rPr>
                <w:sz w:val="22"/>
                <w:u w:val="single"/>
              </w:rPr>
            </w:pPr>
            <w:r>
              <w:rPr>
                <w:color w:val="000000"/>
                <w:sz w:val="22"/>
              </w:rPr>
              <w:t>(713) 853-5020</w:t>
            </w:r>
          </w:p>
        </w:tc>
        <w:tc>
          <w:tcPr>
            <w:tcW w:w="3240" w:type="dxa"/>
            <w:tcBorders/>
          </w:tcPr>
          <w:p>
            <w:pPr>
              <w:pStyle w:val="Normal"/>
              <w:keepNext w:val="true"/>
              <w:rPr>
                <w:color w:val="000000"/>
                <w:sz w:val="22"/>
              </w:rPr>
            </w:pPr>
            <w:r>
              <w:rPr>
                <w:color w:val="000000"/>
                <w:sz w:val="22"/>
              </w:rPr>
              <w:t>(713) 646-2196</w:t>
            </w:r>
          </w:p>
        </w:tc>
      </w:tr>
    </w:tbl>
    <w:p>
      <w:pPr>
        <w:pStyle w:val="Normal"/>
        <w:rPr>
          <w:sz w:val="22"/>
        </w:rPr>
      </w:pPr>
      <w:r>
        <w:rPr>
          <w:sz w:val="22"/>
        </w:rPr>
      </w:r>
    </w:p>
    <w:p>
      <w:pPr>
        <w:pStyle w:val="Normal"/>
        <w:rPr>
          <w:sz w:val="22"/>
        </w:rPr>
      </w:pPr>
      <w:r>
        <w:rPr>
          <w:sz w:val="22"/>
        </w:rPr>
      </w:r>
    </w:p>
    <w:p>
      <w:pPr>
        <w:pStyle w:val="Normal"/>
        <w:keepNext w:val="true"/>
        <w:rPr>
          <w:b/>
          <w:sz w:val="22"/>
        </w:rPr>
      </w:pPr>
      <w:r>
        <w:rPr>
          <w:b/>
          <w:sz w:val="22"/>
        </w:rPr>
        <w:t>TRANSFER OF FUNDS (two signatures required, one from Commercial and one from Support)</w:t>
      </w:r>
    </w:p>
    <w:p>
      <w:pPr>
        <w:pStyle w:val="Normal"/>
        <w:keepNext w:val="true"/>
        <w:rPr>
          <w:b/>
          <w:sz w:val="22"/>
        </w:rPr>
      </w:pPr>
      <w:r>
        <w:rPr>
          <w:b/>
          <w:sz w:val="22"/>
        </w:rPr>
      </w:r>
    </w:p>
    <w:tbl>
      <w:tblPr>
        <w:tblW w:w="9468" w:type="dxa"/>
        <w:jc w:val="start"/>
        <w:tblInd w:w="0" w:type="dxa"/>
        <w:tblLayout w:type="fixed"/>
        <w:tblCellMar>
          <w:top w:w="0" w:type="dxa"/>
          <w:start w:w="108" w:type="dxa"/>
          <w:bottom w:w="0" w:type="dxa"/>
          <w:end w:w="108" w:type="dxa"/>
        </w:tblCellMar>
      </w:tblPr>
      <w:tblGrid>
        <w:gridCol w:w="4968"/>
        <w:gridCol w:w="4500"/>
      </w:tblGrid>
      <w:tr>
        <w:trPr/>
        <w:tc>
          <w:tcPr>
            <w:tcW w:w="4968" w:type="dxa"/>
            <w:tcBorders/>
          </w:tcPr>
          <w:p>
            <w:pPr>
              <w:pStyle w:val="Normal"/>
              <w:keepNext w:val="true"/>
              <w:rPr>
                <w:b/>
                <w:sz w:val="22"/>
                <w:u w:val="single"/>
              </w:rPr>
            </w:pPr>
            <w:r>
              <w:rPr>
                <w:b/>
                <w:sz w:val="22"/>
                <w:u w:val="single"/>
              </w:rPr>
              <w:t>Commercial</w:t>
            </w:r>
          </w:p>
        </w:tc>
        <w:tc>
          <w:tcPr>
            <w:tcW w:w="4500" w:type="dxa"/>
            <w:tcBorders/>
          </w:tcPr>
          <w:p>
            <w:pPr>
              <w:pStyle w:val="Normal"/>
              <w:keepNext w:val="true"/>
              <w:rPr>
                <w:b/>
                <w:sz w:val="22"/>
                <w:u w:val="single"/>
              </w:rPr>
            </w:pPr>
            <w:r>
              <w:rPr>
                <w:b/>
                <w:sz w:val="22"/>
                <w:u w:val="single"/>
              </w:rPr>
              <w:t>Support</w:t>
            </w:r>
          </w:p>
        </w:tc>
      </w:tr>
      <w:tr>
        <w:trPr/>
        <w:tc>
          <w:tcPr>
            <w:tcW w:w="4968" w:type="dxa"/>
            <w:tcBorders/>
          </w:tcPr>
          <w:p>
            <w:pPr>
              <w:pStyle w:val="Normal"/>
              <w:keepNext w:val="true"/>
              <w:snapToGrid w:val="false"/>
              <w:rPr>
                <w:b/>
                <w:sz w:val="22"/>
                <w:u w:val="single"/>
              </w:rPr>
            </w:pPr>
            <w:r>
              <w:rPr>
                <w:b/>
                <w:sz w:val="22"/>
                <w:u w:val="single"/>
              </w:rPr>
            </w:r>
          </w:p>
        </w:tc>
        <w:tc>
          <w:tcPr>
            <w:tcW w:w="4500" w:type="dxa"/>
            <w:tcBorders/>
          </w:tcPr>
          <w:p>
            <w:pPr>
              <w:pStyle w:val="Normal"/>
              <w:keepNext w:val="true"/>
              <w:snapToGrid w:val="false"/>
              <w:rPr>
                <w:color w:val="000000"/>
                <w:sz w:val="22"/>
              </w:rPr>
            </w:pPr>
            <w:r>
              <w:rPr>
                <w:color w:val="000000"/>
                <w:sz w:val="22"/>
              </w:rPr>
            </w:r>
          </w:p>
        </w:tc>
      </w:tr>
      <w:tr>
        <w:trPr/>
        <w:tc>
          <w:tcPr>
            <w:tcW w:w="4968" w:type="dxa"/>
            <w:tcBorders/>
          </w:tcPr>
          <w:p>
            <w:pPr>
              <w:pStyle w:val="Normal"/>
              <w:keepNext w:val="true"/>
              <w:rPr>
                <w:color w:val="000000"/>
                <w:sz w:val="22"/>
              </w:rPr>
            </w:pPr>
            <w:r>
              <w:rPr>
                <w:color w:val="000000"/>
                <w:sz w:val="22"/>
              </w:rPr>
              <w:t>Bruce K. Harris</w:t>
            </w:r>
          </w:p>
        </w:tc>
        <w:tc>
          <w:tcPr>
            <w:tcW w:w="4500" w:type="dxa"/>
            <w:tcBorders/>
          </w:tcPr>
          <w:p>
            <w:pPr>
              <w:pStyle w:val="Normal"/>
              <w:keepNext w:val="true"/>
              <w:rPr>
                <w:color w:val="000000"/>
                <w:sz w:val="22"/>
              </w:rPr>
            </w:pPr>
            <w:r>
              <w:rPr>
                <w:color w:val="000000"/>
                <w:sz w:val="22"/>
              </w:rPr>
              <w:t>Sheila M. Glover</w:t>
            </w:r>
          </w:p>
        </w:tc>
      </w:tr>
      <w:tr>
        <w:trPr/>
        <w:tc>
          <w:tcPr>
            <w:tcW w:w="4968" w:type="dxa"/>
            <w:tcBorders/>
          </w:tcPr>
          <w:p>
            <w:pPr>
              <w:pStyle w:val="Normal"/>
              <w:keepNext w:val="true"/>
              <w:rPr>
                <w:color w:val="000000"/>
                <w:sz w:val="22"/>
              </w:rPr>
            </w:pPr>
            <w:r>
              <w:rPr>
                <w:color w:val="000000"/>
                <w:sz w:val="22"/>
              </w:rPr>
              <w:t>John M. Greene</w:t>
            </w:r>
          </w:p>
        </w:tc>
        <w:tc>
          <w:tcPr>
            <w:tcW w:w="4500" w:type="dxa"/>
            <w:tcBorders/>
          </w:tcPr>
          <w:p>
            <w:pPr>
              <w:pStyle w:val="Normal"/>
              <w:keepNext w:val="true"/>
              <w:rPr>
                <w:color w:val="000000"/>
                <w:sz w:val="22"/>
              </w:rPr>
            </w:pPr>
            <w:r>
              <w:rPr>
                <w:color w:val="000000"/>
                <w:sz w:val="22"/>
              </w:rPr>
              <w:t>Bennett Kaufman</w:t>
            </w:r>
          </w:p>
        </w:tc>
      </w:tr>
      <w:tr>
        <w:trPr/>
        <w:tc>
          <w:tcPr>
            <w:tcW w:w="4968" w:type="dxa"/>
            <w:tcBorders/>
          </w:tcPr>
          <w:p>
            <w:pPr>
              <w:pStyle w:val="Normal"/>
              <w:keepNext w:val="true"/>
              <w:rPr>
                <w:color w:val="000000"/>
                <w:sz w:val="22"/>
              </w:rPr>
            </w:pPr>
            <w:r>
              <w:rPr>
                <w:color w:val="000000"/>
                <w:sz w:val="22"/>
              </w:rPr>
              <w:t>Gary J. Hickerson</w:t>
            </w:r>
          </w:p>
        </w:tc>
        <w:tc>
          <w:tcPr>
            <w:tcW w:w="4500" w:type="dxa"/>
            <w:tcBorders/>
          </w:tcPr>
          <w:p>
            <w:pPr>
              <w:pStyle w:val="Normal"/>
              <w:keepNext w:val="true"/>
              <w:snapToGrid w:val="false"/>
              <w:rPr>
                <w:color w:val="000000"/>
                <w:sz w:val="22"/>
              </w:rPr>
            </w:pPr>
            <w:r>
              <w:rPr>
                <w:color w:val="000000"/>
                <w:sz w:val="22"/>
              </w:rPr>
            </w:r>
          </w:p>
        </w:tc>
      </w:tr>
      <w:tr>
        <w:trPr/>
        <w:tc>
          <w:tcPr>
            <w:tcW w:w="4968" w:type="dxa"/>
            <w:tcBorders/>
          </w:tcPr>
          <w:p>
            <w:pPr>
              <w:pStyle w:val="Normal"/>
              <w:keepNext w:val="true"/>
              <w:rPr>
                <w:color w:val="000000"/>
                <w:sz w:val="22"/>
              </w:rPr>
            </w:pPr>
            <w:r>
              <w:rPr>
                <w:color w:val="000000"/>
                <w:sz w:val="22"/>
              </w:rPr>
              <w:t>Jeffrey P. Kinneman</w:t>
            </w:r>
          </w:p>
        </w:tc>
        <w:tc>
          <w:tcPr>
            <w:tcW w:w="4500" w:type="dxa"/>
            <w:tcBorders/>
          </w:tcPr>
          <w:p>
            <w:pPr>
              <w:pStyle w:val="Normal"/>
              <w:keepNext w:val="true"/>
              <w:snapToGrid w:val="false"/>
              <w:rPr>
                <w:color w:val="000000"/>
                <w:sz w:val="22"/>
              </w:rPr>
            </w:pPr>
            <w:r>
              <w:rPr>
                <w:color w:val="000000"/>
                <w:sz w:val="22"/>
              </w:rPr>
            </w:r>
          </w:p>
        </w:tc>
      </w:tr>
      <w:tr>
        <w:trPr/>
        <w:tc>
          <w:tcPr>
            <w:tcW w:w="4968" w:type="dxa"/>
            <w:tcBorders/>
          </w:tcPr>
          <w:p>
            <w:pPr>
              <w:pStyle w:val="Normal"/>
              <w:keepNext w:val="true"/>
              <w:rPr>
                <w:color w:val="000000"/>
                <w:sz w:val="22"/>
              </w:rPr>
            </w:pPr>
            <w:r>
              <w:rPr>
                <w:color w:val="000000"/>
                <w:sz w:val="22"/>
              </w:rPr>
              <w:t>Greg Whalley</w:t>
            </w:r>
          </w:p>
        </w:tc>
        <w:tc>
          <w:tcPr>
            <w:tcW w:w="4500" w:type="dxa"/>
            <w:tcBorders/>
          </w:tcPr>
          <w:p>
            <w:pPr>
              <w:pStyle w:val="Normal"/>
              <w:keepNext w:val="true"/>
              <w:snapToGrid w:val="false"/>
              <w:rPr>
                <w:color w:val="000000"/>
                <w:sz w:val="22"/>
              </w:rPr>
            </w:pPr>
            <w:r>
              <w:rPr>
                <w:color w:val="000000"/>
                <w:sz w:val="22"/>
              </w:rPr>
            </w:r>
          </w:p>
        </w:tc>
      </w:tr>
    </w:tbl>
    <w:p>
      <w:pPr>
        <w:pStyle w:val="Normal"/>
        <w:rPr>
          <w:sz w:val="22"/>
        </w:rPr>
      </w:pPr>
      <w:r>
        <w:rPr>
          <w:sz w:val="22"/>
        </w:rPr>
      </w:r>
    </w:p>
    <w:p>
      <w:pPr>
        <w:pStyle w:val="Normal"/>
        <w:rPr/>
      </w:pPr>
      <w:r>
        <w:rPr>
          <w:b/>
          <w:sz w:val="22"/>
        </w:rPr>
        <w:t>NEW ACCOUNTS OR SUBACCOUNTS:</w:t>
      </w:r>
      <w:r>
        <w:rPr>
          <w:sz w:val="22"/>
        </w:rPr>
        <w:t xml:space="preserve">  The following individuals are authorized to establish new accounts on behalf of the customer:  </w:t>
      </w:r>
    </w:p>
    <w:p>
      <w:pPr>
        <w:pStyle w:val="Normal"/>
        <w:rPr>
          <w:sz w:val="22"/>
        </w:rPr>
      </w:pPr>
      <w:r>
        <w:rPr>
          <w:sz w:val="22"/>
        </w:rPr>
      </w:r>
    </w:p>
    <w:p>
      <w:pPr>
        <w:pStyle w:val="Normal"/>
        <w:tabs>
          <w:tab w:val="clear" w:pos="720"/>
          <w:tab w:val="left" w:pos="450" w:leader="none"/>
        </w:tabs>
        <w:rPr>
          <w:sz w:val="22"/>
        </w:rPr>
      </w:pPr>
      <w:r>
        <w:rPr>
          <w:sz w:val="22"/>
        </w:rPr>
        <w:t>Any one of (i) Peter E. Weidler, (ii) K. George Wasaff, (iii) Robert G. Gay, (iv) Connie F. Estrems, (v) the Executive Vice President and Chief Risk Officer of Enron Corp. or (vi) Theodore R. Murphy, Vice President of Risk Assessment and Control Group, a division of Enron Corp., is authorized to establish accounts (which may be margin accounts).</w:t>
      </w:r>
    </w:p>
    <w:p>
      <w:pPr>
        <w:pStyle w:val="Normal"/>
        <w:tabs>
          <w:tab w:val="clear" w:pos="720"/>
          <w:tab w:val="left" w:pos="450" w:leader="none"/>
        </w:tabs>
        <w:rPr>
          <w:sz w:val="22"/>
        </w:rPr>
      </w:pPr>
      <w:r>
        <w:rPr>
          <w:sz w:val="22"/>
        </w:rPr>
      </w:r>
    </w:p>
    <w:p>
      <w:pPr>
        <w:pStyle w:val="Normal"/>
        <w:tabs>
          <w:tab w:val="clear" w:pos="720"/>
          <w:tab w:val="left" w:pos="450" w:leader="none"/>
        </w:tabs>
        <w:rPr>
          <w:sz w:val="22"/>
        </w:rPr>
      </w:pPr>
      <w:r>
        <w:rPr>
          <w:sz w:val="22"/>
        </w:rPr>
        <w:t>The following individuals are authorized to establish subaccounts on behalf of the customer:</w:t>
      </w:r>
    </w:p>
    <w:p>
      <w:pPr>
        <w:pStyle w:val="Normal"/>
        <w:tabs>
          <w:tab w:val="clear" w:pos="720"/>
          <w:tab w:val="left" w:pos="450" w:leader="none"/>
        </w:tabs>
        <w:rPr>
          <w:sz w:val="22"/>
        </w:rPr>
      </w:pPr>
      <w:r>
        <w:rPr>
          <w:sz w:val="22"/>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sz w:val="22"/>
        </w:rPr>
      </w:pPr>
      <w:r>
        <w:rPr>
          <w:sz w:val="22"/>
        </w:rPr>
        <w:t>Any one of (i) Peter E. Weidler, (ii) K. George Wasaff, (iii) Robert G. Gay, (iv) Connie F. Estrems, (v) the Executive Vice President and Chief Risk Officer of Enron Corp. or (vi) Theodore R. Murphy, Vice President of Risk Assessment and Control Group, a division of Enron Corp., is specifically authorized to open subaccounts upon written instructions to such brokers.</w:t>
      </w:r>
    </w:p>
    <w:p>
      <w:pPr>
        <w:pStyle w:val="Normal"/>
        <w:jc w:val="center"/>
        <w:rPr>
          <w:b/>
          <w:sz w:val="22"/>
        </w:rPr>
      </w:pPr>
      <w:r>
        <w:rPr>
          <w:b/>
          <w:sz w:val="22"/>
        </w:rPr>
      </w:r>
    </w:p>
    <w:p>
      <w:pPr>
        <w:pStyle w:val="Normal"/>
        <w:jc w:val="center"/>
        <w:rPr>
          <w:b/>
          <w:sz w:val="22"/>
        </w:rPr>
      </w:pPr>
      <w:r>
        <w:rPr>
          <w:b/>
          <w:sz w:val="22"/>
        </w:rPr>
        <w:t>Officer's Certificate</w:t>
      </w:r>
    </w:p>
    <w:p>
      <w:pPr>
        <w:pStyle w:val="Normal"/>
        <w:rPr>
          <w:b/>
          <w:sz w:val="22"/>
        </w:rPr>
      </w:pPr>
      <w:r>
        <w:rPr>
          <w:b/>
          <w:sz w:val="22"/>
        </w:rPr>
      </w:r>
    </w:p>
    <w:p>
      <w:pPr>
        <w:pStyle w:val="Normal"/>
        <w:rPr>
          <w:sz w:val="22"/>
        </w:rPr>
      </w:pPr>
      <w:r>
        <w:rPr>
          <w:sz w:val="22"/>
        </w:rPr>
      </w:r>
    </w:p>
    <w:p>
      <w:pPr>
        <w:pStyle w:val="Normal"/>
        <w:ind w:firstLine="720" w:end="0"/>
        <w:rPr>
          <w:sz w:val="22"/>
        </w:rPr>
      </w:pPr>
      <w:r>
        <w:rPr>
          <w:sz w:val="22"/>
        </w:rPr>
        <w:t>The undersigned, Theodore R. Murphy, Vice President of Risk Assessment and Control Group, a division of Enron Corp., an Oregon corporation, hereby certifies that attached hereto is a true and correct listing of corporate officers and authorized traders.</w:t>
      </w:r>
    </w:p>
    <w:p>
      <w:pPr>
        <w:pStyle w:val="Normal"/>
        <w:rPr>
          <w:sz w:val="22"/>
        </w:rPr>
      </w:pPr>
      <w:r>
        <w:rPr>
          <w:sz w:val="22"/>
        </w:rPr>
      </w:r>
    </w:p>
    <w:p>
      <w:pPr>
        <w:pStyle w:val="Normal"/>
        <w:ind w:firstLine="720" w:end="0"/>
        <w:rPr>
          <w:sz w:val="22"/>
        </w:rPr>
      </w:pPr>
      <w:r>
        <w:rPr>
          <w:sz w:val="22"/>
        </w:rPr>
        <w:t>Executed as of the __________ day of  January,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start="4320" w:end="0"/>
        <w:rPr>
          <w:sz w:val="22"/>
        </w:rPr>
      </w:pPr>
      <w:r>
        <w:rPr>
          <w:sz w:val="22"/>
        </w:rPr>
        <w:t>__________________________________</w:t>
      </w:r>
    </w:p>
    <w:p>
      <w:pPr>
        <w:pStyle w:val="Normal"/>
        <w:ind w:start="4320" w:end="0"/>
        <w:rPr>
          <w:sz w:val="22"/>
        </w:rPr>
      </w:pPr>
      <w:r>
        <w:rPr>
          <w:sz w:val="22"/>
        </w:rPr>
        <w:t>Theodore R. Murphy</w:t>
      </w:r>
    </w:p>
    <w:p>
      <w:pPr>
        <w:pStyle w:val="Normal"/>
        <w:ind w:start="4320" w:end="0"/>
        <w:rPr>
          <w:sz w:val="22"/>
        </w:rPr>
      </w:pPr>
      <w:r>
        <w:rPr>
          <w:sz w:val="22"/>
        </w:rPr>
        <w:t>Vice President of Risk Assessment and Control,</w:t>
      </w:r>
    </w:p>
    <w:p>
      <w:pPr>
        <w:pStyle w:val="Normal"/>
        <w:ind w:start="4320" w:end="0"/>
        <w:rPr>
          <w:sz w:val="22"/>
        </w:rPr>
      </w:pPr>
      <w:r>
        <w:rPr>
          <w:sz w:val="22"/>
        </w:rPr>
        <w:t>a division of Enron Corp.</w:t>
      </w:r>
    </w:p>
    <w:p>
      <w:pPr>
        <w:pStyle w:val="Normal"/>
        <w:rPr>
          <w:sz w:val="22"/>
        </w:rPr>
      </w:pPr>
      <w:r>
        <w:rPr>
          <w:sz w:val="22"/>
        </w:rPr>
      </w:r>
    </w:p>
    <w:p>
      <w:pPr>
        <w:pStyle w:val="Normal"/>
        <w:rPr>
          <w:sz w:val="22"/>
        </w:rPr>
      </w:pPr>
      <w:r>
        <w:rPr>
          <w:sz w:val="22"/>
        </w:rPr>
      </w:r>
    </w:p>
    <w:p>
      <w:pPr>
        <w:pStyle w:val="Normal"/>
        <w:rPr>
          <w:sz w:val="22"/>
        </w:rPr>
      </w:pPr>
      <w:r>
        <w:rPr>
          <w:sz w:val="22"/>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/mnt/main-storage/datasets/enron-docs/doc/ep_argentinacert_traders.doc</w:t>
    </w:r>
    <w:r>
      <w:rPr>
        <w:sz w:val="12"/>
        <w:rFonts w:cs="Times New Roman" w:ascii="Times New Roman" w:hAnsi="Times New Roman"/>
      </w:rPr>
      <w:fldChar w:fldCharType="end"/>
    </w:r>
  </w:p>
  <w:p>
    <w:pPr>
      <w:pStyle w:val="Footer"/>
      <w:rPr>
        <w:rFonts w:ascii="Times New Roman" w:hAnsi="Times New Roman" w:cs="Times New Roman"/>
        <w:sz w:val="16"/>
      </w:rPr>
    </w:pPr>
    <w:r>
      <w:rPr>
        <w:rFonts w:cs="Times New Roman" w:ascii="Times New Roman" w:hAnsi="Times New Roman"/>
        <w:sz w:val="16"/>
      </w:rPr>
      <w:t>01/13/2000</w:t>
    </w:r>
  </w:p>
  <w:p>
    <w:pPr>
      <w:pStyle w:val="Footer"/>
      <w:jc w:val="center"/>
      <w:rP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2</w:t>
    </w:r>
    <w:r>
      <w:rPr>
        <w:rStyle w:val="PageNumber"/>
        <w:sz w:val="20"/>
        <w:rFonts w:cs="Times New Roman" w:ascii="Times New Roman" w:hAnsi="Times New Roman"/>
      </w:rPr>
      <w:fldChar w:fldCharType="end"/>
    </w:r>
  </w:p>
  <w:p>
    <w:pPr>
      <w:pStyle w:val="Footer"/>
      <w:spacing w:lineRule="atLeast" w:line="0"/>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fldChar w:fldCharType="begin"/>
    </w:r>
    <w:r>
      <w:rPr/>
      <w:instrText xml:space="preserve"> PAGE </w:instrText>
    </w:r>
    <w:r>
      <w:rPr/>
      <w:fldChar w:fldCharType="separate"/>
    </w:r>
    <w:r>
      <w:rPr/>
      <w:t>0</w:t>
    </w:r>
    <w:r>
      <w:rPr/>
      <w:fldChar w:fldCharType="end"/>
    </w:r>
    <w:r>
      <w:rPr/>
      <w:t>.</w:t>
    </w:r>
  </w:p>
  <w:p>
    <w:pPr>
      <w:pStyle w:val="Footer"/>
      <w:jc w:val="center"/>
      <w:rPr/>
    </w:pPr>
    <w:r>
      <w:rPr/>
    </w:r>
  </w:p>
  <w:p>
    <w:pPr>
      <w:pStyle w:val="Footer"/>
      <w:jc w:val="start"/>
      <w:rPr/>
    </w:pPr>
    <w:r>
      <w:rPr>
        <w:sz w:val="12"/>
      </w:rPr>
      <w:t>JAS\DOCUMENT\</w:t>
    </w:r>
    <w:r>
      <w:rPr>
        <w:sz w:val="12"/>
      </w:rPr>
      <w:fldChar w:fldCharType="begin"/>
    </w:r>
    <w:r>
      <w:rPr>
        <w:sz w:val="12"/>
      </w:rPr>
      <w:instrText xml:space="preserve"> FILENAME </w:instrText>
    </w:r>
    <w:r>
      <w:rPr>
        <w:sz w:val="12"/>
      </w:rPr>
      <w:fldChar w:fldCharType="separate"/>
    </w:r>
    <w:r>
      <w:rPr>
        <w:sz w:val="12"/>
      </w:rPr>
      <w:t>ep_argentinacert_traders.doc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\p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/mnt/main-storage/datasets/enron-docs/doc/ep_argentinacert_traders.doc</w:t>
    </w:r>
    <w:r>
      <w:rPr>
        <w:sz w:val="16"/>
        <w:rFonts w:cs="Times New Roman" w:ascii="Times New Roman" w:hAnsi="Times New Roman"/>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spacing w:lineRule="atLeast" w:line="240"/>
      <w:jc w:val="both"/>
    </w:pPr>
    <w:rPr>
      <w:rFonts w:ascii="TIMES" w:hAnsi="TIMES" w:cs="TIMES"/>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2000-01-13T16:47:00Z</dcterms:created>
  <dc:creator>mheard</dc:creator>
  <dc:description/>
  <dc:language>en-CA</dc:language>
  <cp:lastModifiedBy>susan s bailey</cp:lastModifiedBy>
  <cp:lastPrinted>2000-01-13T13:38:00Z</cp:lastPrinted>
  <dcterms:modified xsi:type="dcterms:W3CDTF">2000-01-13T17:08:00Z</dcterms:modified>
  <cp:revision>6</cp:revision>
  <dc:subject/>
  <dc:title>ENRON BRAZIL POWER HOLDINGS XII LTD</dc:title>
</cp:coreProperties>
</file>