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Enron Corporate Profile</w:t>
      </w:r>
    </w:p>
    <w:p>
      <w:pPr>
        <w:pStyle w:val="Normal"/>
        <w:rPr/>
      </w:pPr>
      <w:r>
        <w:rPr/>
        <w:t>Case Study:  EnronOnline</w:t>
      </w:r>
    </w:p>
    <w:p>
      <w:pPr>
        <w:pStyle w:val="Normal"/>
        <w:rPr/>
      </w:pPr>
      <w:r>
        <w:rPr/>
        <w:t>5/18/00</w:t>
      </w:r>
    </w:p>
    <w:p>
      <w:pPr>
        <w:pStyle w:val="Heading1"/>
        <w:ind w:hanging="0" w:start="0"/>
        <w:rPr>
          <w:u w:val="none"/>
        </w:rPr>
      </w:pPr>
      <w:r>
        <w:rPr>
          <w:u w:val="none"/>
        </w:rPr>
      </w:r>
    </w:p>
    <w:p>
      <w:pPr>
        <w:pStyle w:val="Heading1"/>
        <w:ind w:hanging="0" w:start="0"/>
        <w:rPr>
          <w:u w:val="none"/>
        </w:rPr>
      </w:pPr>
      <w:r>
        <w:rPr>
          <w:u w:val="none"/>
        </w:rPr>
      </w:r>
    </w:p>
    <w:p>
      <w:pPr>
        <w:pStyle w:val="Heading1"/>
        <w:ind w:hanging="0" w:start="0"/>
        <w:rPr/>
      </w:pPr>
      <w:r>
        <w:rPr/>
        <w:t>EnronOnline: Enron’s eCommerce Marketplace</w:t>
      </w:r>
    </w:p>
    <w:p>
      <w:pPr>
        <w:pStyle w:val="Normal"/>
        <w:rPr/>
      </w:pPr>
      <w:r>
        <w:rPr/>
      </w:r>
    </w:p>
    <w:p>
      <w:pPr>
        <w:pStyle w:val="Normal"/>
        <w:rPr/>
      </w:pPr>
      <w:r>
        <w:rPr/>
        <w:t>Customers now have two ways to transact with Enron: with a telephone call or a mouse click. The universal reach of EnronOnline creates sufficient trading volume for Enron to start new commodities markets and increases liquidity of traditional energy commodities. In the first six months, volume tops 100,000 transactions.</w:t>
      </w:r>
    </w:p>
    <w:p>
      <w:pPr>
        <w:pStyle w:val="Normal"/>
        <w:rPr/>
      </w:pPr>
      <w:r>
        <w:rPr/>
      </w:r>
    </w:p>
    <w:p>
      <w:pPr>
        <w:pStyle w:val="Heading2"/>
        <w:ind w:hanging="0" w:start="0"/>
        <w:rPr/>
      </w:pPr>
      <w:r>
        <w:rPr/>
        <w:t>Project Lead</w:t>
      </w:r>
    </w:p>
    <w:p>
      <w:pPr>
        <w:pStyle w:val="Normal"/>
        <w:rPr/>
      </w:pPr>
      <w:r>
        <w:rPr/>
        <w:t>The head European natural gas trader draws from Enron’s global networks to develop a trading system built to the high standards of trading customers.  EnronOnline is the first truly global Internet trading site. It posts real-time bid and ask prices, and all transactions are directly with Enron.  The system’s ease of use is astonishing – it takes only a couple of clicks of a mouse to submit transactions to Enron.</w:t>
      </w:r>
    </w:p>
    <w:p>
      <w:pPr>
        <w:pStyle w:val="Normal"/>
        <w:rPr/>
      </w:pPr>
      <w:r>
        <w:rPr/>
        <w:t xml:space="preserve"> </w:t>
      </w:r>
    </w:p>
    <w:p>
      <w:pPr>
        <w:pStyle w:val="Heading2"/>
        <w:ind w:hanging="0" w:start="0"/>
        <w:rPr/>
      </w:pPr>
      <w:r>
        <w:rPr/>
        <w:t>Global Trading Operation</w:t>
      </w:r>
    </w:p>
    <w:p>
      <w:pPr>
        <w:pStyle w:val="Normal"/>
        <w:rPr/>
      </w:pPr>
      <w:r>
        <w:rPr/>
        <w:t>With its strong presence and volume in international commodity markets, Enron has the liquidity to make two-way (buy and sell) markets in hundreds of products. EnronOnline features Enron’s best prices, set by its traders and updated throughout the day.</w:t>
      </w:r>
    </w:p>
    <w:p>
      <w:pPr>
        <w:pStyle w:val="Normal"/>
        <w:rPr/>
      </w:pPr>
      <w:r>
        <w:rPr/>
      </w:r>
    </w:p>
    <w:p>
      <w:pPr>
        <w:pStyle w:val="Heading2"/>
        <w:ind w:hanging="0" w:start="0"/>
        <w:rPr/>
      </w:pPr>
      <w:r>
        <w:rPr/>
        <w:t>Operations</w:t>
      </w:r>
    </w:p>
    <w:p>
      <w:pPr>
        <w:pStyle w:val="Normal"/>
        <w:rPr/>
      </w:pPr>
      <w:r>
        <w:rPr/>
        <w:t xml:space="preserve">A dedicated global operations team supports customers with a 24-hour HelpDesk offering assistance in 140 languages. The team also maintains EnronOnline’s customer service database containing customer and contract information.   </w:t>
      </w:r>
    </w:p>
    <w:p>
      <w:pPr>
        <w:pStyle w:val="Normal"/>
        <w:rPr/>
      </w:pPr>
      <w:r>
        <w:rPr/>
      </w:r>
    </w:p>
    <w:p>
      <w:pPr>
        <w:pStyle w:val="Normal"/>
        <w:rPr>
          <w:b/>
        </w:rPr>
      </w:pPr>
      <w:r>
        <w:rPr>
          <w:b/>
        </w:rPr>
        <w:t>Credit/Foreign exchange/risk assessment and control (RAC)</w:t>
      </w:r>
    </w:p>
    <w:p>
      <w:pPr>
        <w:pStyle w:val="Normal"/>
        <w:rPr/>
      </w:pPr>
      <w:r>
        <w:rPr/>
        <w:t>Online transactions happen so fast and volumes can be so great that instantaneous credit checks are built into the system.  Because this is a global system, Enron’s Foreign Exchange Desk quotes currency rates that are then incorporated into the commodity pricing on a real-time basis.</w:t>
      </w:r>
    </w:p>
    <w:p>
      <w:pPr>
        <w:pStyle w:val="Normal"/>
        <w:rPr/>
      </w:pPr>
      <w:r>
        <w:rPr/>
      </w:r>
    </w:p>
    <w:p>
      <w:pPr>
        <w:pStyle w:val="Normal"/>
        <w:rPr>
          <w:b/>
        </w:rPr>
      </w:pPr>
      <w:r>
        <w:rPr>
          <w:b/>
        </w:rPr>
        <w:t>Information Technology (IT)</w:t>
      </w:r>
    </w:p>
    <w:p>
      <w:pPr>
        <w:pStyle w:val="Normal"/>
        <w:rPr/>
      </w:pPr>
      <w:r>
        <w:rPr/>
        <w:t xml:space="preserve">Enron’s world-class IT team, recognized for its innovation by </w:t>
      </w:r>
      <w:r>
        <w:rPr>
          <w:i/>
        </w:rPr>
        <w:t>Information Week</w:t>
      </w:r>
      <w:r>
        <w:rPr/>
        <w:t>, supports each EnronOnline product individually and guarantees that transactions are secure. IT designed the system to integrate seamlessly into Enron’s back office systems for contract settlement, risk management and commodity scheduling.</w:t>
      </w:r>
    </w:p>
    <w:p>
      <w:pPr>
        <w:pStyle w:val="Normal"/>
        <w:rPr/>
      </w:pPr>
      <w:r>
        <w:rPr/>
      </w:r>
    </w:p>
    <w:p>
      <w:pPr>
        <w:pStyle w:val="Heading2"/>
        <w:ind w:hanging="0" w:start="0"/>
        <w:rPr/>
      </w:pPr>
      <w:r>
        <w:rPr/>
        <w:t>Legal and Tax</w:t>
      </w:r>
    </w:p>
    <w:p>
      <w:pPr>
        <w:pStyle w:val="Normal"/>
        <w:rPr/>
      </w:pPr>
      <w:r>
        <w:rPr/>
        <w:t>What turns a mouse click into a legally binding contract? Lawyers must deal with hundreds of legal issues and regulatory standards for each country. The tax group ensures that EnronOnline accommodates the statues of all countries at all times, and both teams monitor ever-changing regulations for eCommerce.</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rFonts w:ascii="Verdana" w:hAnsi="Verdana" w:cs="Verdana"/>
      <w:b/>
      <w:sz w:val="20"/>
    </w:rPr>
  </w:style>
  <w:style w:type="paragraph" w:styleId="Heading4">
    <w:name w:val="heading 4"/>
    <w:basedOn w:val="Normal"/>
    <w:next w:val="Normal"/>
    <w:qFormat/>
    <w:pPr>
      <w:keepNext w:val="true"/>
      <w:numPr>
        <w:ilvl w:val="3"/>
        <w:numId w:val="1"/>
      </w:numPr>
      <w:outlineLvl w:val="3"/>
    </w:pPr>
    <w:rPr>
      <w:rFonts w:ascii="Verdana" w:hAnsi="Verdana" w:cs="Verdana"/>
      <w:b/>
      <w:sz w:val="2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2000-05-18T18:32:00Z</dcterms:created>
  <dc:creator>Jeannie Mandelker</dc:creator>
  <dc:description/>
  <dc:language>en-CA</dc:language>
  <cp:lastModifiedBy>kshah</cp:lastModifiedBy>
  <cp:lastPrinted>2000-05-18T15:18:00Z</cp:lastPrinted>
  <dcterms:modified xsi:type="dcterms:W3CDTF">2000-05-18T18:32:00Z</dcterms:modified>
  <cp:revision>2</cp:revision>
  <dc:subject/>
  <dc:title>EnronOnline: Enron’s eCommerce Portal</dc:title>
</cp:coreProperties>
</file>