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This policy is adopted in order to ensure compliance with the Marketing Affiliate Rule (18 C.F.R. §161.3) and the June 21, 2000 Confidentiality Agreement between EnronOnline, LLC and the Enron Gas Pipelines (Northern Natural Gas Company, Transwestern Pipeline Company and Florida Gas Transmission Company). It applies to all non-pipeline employees that perform any of the following EnronOnline administrative activities:</w:t>
      </w:r>
    </w:p>
    <w:p>
      <w:pPr>
        <w:pStyle w:val="Normal"/>
        <w:rPr/>
      </w:pPr>
      <w:r>
        <w:rPr/>
      </w:r>
    </w:p>
    <w:p>
      <w:pPr>
        <w:pStyle w:val="Normal"/>
        <w:numPr>
          <w:ilvl w:val="0"/>
          <w:numId w:val="2"/>
        </w:numPr>
        <w:rPr/>
      </w:pPr>
      <w:r>
        <w:rPr/>
        <w:t>Any and all activities relating to the viewing of Transactions in the Data Manager;</w:t>
      </w:r>
    </w:p>
    <w:p>
      <w:pPr>
        <w:pStyle w:val="Normal"/>
        <w:numPr>
          <w:ilvl w:val="0"/>
          <w:numId w:val="2"/>
        </w:numPr>
        <w:rPr/>
      </w:pPr>
      <w:r>
        <w:rPr/>
        <w:t>Any and all activities relating to the building, maintenance or archiving of products in the Product Manager;</w:t>
      </w:r>
    </w:p>
    <w:p>
      <w:pPr>
        <w:pStyle w:val="Normal"/>
        <w:numPr>
          <w:ilvl w:val="0"/>
          <w:numId w:val="2"/>
        </w:numPr>
        <w:rPr/>
      </w:pPr>
      <w:r>
        <w:rPr/>
        <w:t xml:space="preserve">Any and all activities concerning indicative data related to a product in the Stack Manager. </w:t>
      </w:r>
    </w:p>
    <w:p>
      <w:pPr>
        <w:pStyle w:val="Normal"/>
        <w:numPr>
          <w:ilvl w:val="0"/>
          <w:numId w:val="2"/>
        </w:numPr>
        <w:rPr/>
      </w:pPr>
      <w:r>
        <w:rPr/>
        <w:t xml:space="preserve">Any and all activities relating to the identification and removal of Products in the Bridge Monitor. </w:t>
      </w:r>
    </w:p>
    <w:p>
      <w:pPr>
        <w:pStyle w:val="Normal"/>
        <w:numPr>
          <w:ilvl w:val="0"/>
          <w:numId w:val="2"/>
        </w:numPr>
        <w:rPr/>
      </w:pPr>
      <w:r>
        <w:rPr/>
        <w:t xml:space="preserve">Any and all activities relating to a reporting function through EOL Reports. </w:t>
      </w:r>
    </w:p>
    <w:p>
      <w:pPr>
        <w:pStyle w:val="Normal"/>
        <w:rPr/>
      </w:pPr>
      <w:r>
        <w:rPr/>
      </w:r>
    </w:p>
    <w:p>
      <w:pPr>
        <w:pStyle w:val="Normal"/>
        <w:rPr/>
      </w:pPr>
      <w:r>
        <w:rPr/>
        <w:t>To the extent that any employees performing Enron administrative activities have, by virtue of this administrative role, access to the transactional data of any Enron-affiliated pipeline, such employees will not disclose such data to the operational or commercial employees of any marketing affiliate.</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eol_policy.doc</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CG Times;Times New Roman" w:hAnsi="CG Times;Times New Roman" w:eastAsia="Times New Roman" w:cs="CG Times;Times New Roman"/>
      <w:color w:val="auto"/>
      <w:sz w:val="24"/>
      <w:szCs w:val="20"/>
      <w:lang w:val="en-US" w:eastAsia="en-US" w:bidi="hi-IN"/>
    </w:rPr>
  </w:style>
  <w:style w:type="paragraph" w:styleId="Heading1">
    <w:name w:val="heading 1"/>
    <w:basedOn w:val="Normal"/>
    <w:next w:val="Normal"/>
    <w:qFormat/>
    <w:pPr>
      <w:keepNext w:val="true"/>
      <w:numPr>
        <w:ilvl w:val="0"/>
        <w:numId w:val="1"/>
      </w:numPr>
      <w:tabs>
        <w:tab w:val="left" w:pos="720" w:leader="none"/>
      </w:tabs>
      <w:spacing w:lineRule="auto" w:line="240"/>
      <w:ind w:hanging="0" w:start="0" w:end="0"/>
      <w:jc w:val="center"/>
      <w:outlineLvl w:val="0"/>
    </w:pPr>
    <w:rPr>
      <w:u w:val="single"/>
    </w:rPr>
  </w:style>
  <w:style w:type="paragraph" w:styleId="Heading2">
    <w:name w:val="heading 2"/>
    <w:basedOn w:val="Normal"/>
    <w:next w:val="Normal"/>
    <w:qFormat/>
    <w:pPr>
      <w:keepNext w:val="true"/>
      <w:numPr>
        <w:ilvl w:val="1"/>
        <w:numId w:val="1"/>
      </w:numPr>
      <w:ind w:hanging="0" w:start="720" w:end="0"/>
      <w:jc w:val="start"/>
      <w:outlineLvl w:val="1"/>
    </w:pPr>
    <w:rPr/>
  </w:style>
  <w:style w:type="paragraph" w:styleId="Heading3">
    <w:name w:val="heading 3"/>
    <w:basedOn w:val="Normal"/>
    <w:next w:val="Normal"/>
    <w:qFormat/>
    <w:pPr>
      <w:keepNext w:val="true"/>
      <w:numPr>
        <w:ilvl w:val="2"/>
        <w:numId w:val="1"/>
      </w:numPr>
      <w:tabs>
        <w:tab w:val="clear" w:pos="720"/>
        <w:tab w:val="left" w:pos="1360" w:leader="none"/>
        <w:tab w:val="left" w:pos="1960" w:leader="none"/>
      </w:tabs>
      <w:ind w:hanging="2736" w:start="4176" w:end="0"/>
      <w:outlineLvl w:val="2"/>
    </w:pPr>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120" w:after="120"/>
      <w:ind w:hanging="720" w:start="720" w:end="0"/>
      <w:jc w:val="start"/>
    </w:pPr>
    <w:rPr>
      <w:rFonts w:ascii="Times New Roman" w:hAnsi="Times New Roman" w:cs="Times New Roman"/>
      <w:sz w:val="20"/>
    </w:rPr>
  </w:style>
  <w:style w:type="paragraph" w:styleId="pa">
    <w:name w:val="pa"/>
    <w:basedOn w:val="Normal"/>
    <w:qFormat/>
    <w:pPr>
      <w:widowControl w:val="false"/>
      <w:spacing w:lineRule="exact" w:line="480"/>
      <w:ind w:firstLine="1440" w:start="0" w:end="0"/>
    </w:pPr>
    <w:rPr>
      <w:color w:val="auto"/>
      <w:lang w:eastAsia="en-US"/>
    </w:rPr>
  </w:style>
  <w:style w:type="paragraph" w:styleId="pI">
    <w:name w:val="pI"/>
    <w:basedOn w:val="Normal"/>
    <w:qFormat/>
    <w:pPr>
      <w:widowControl w:val="false"/>
      <w:tabs>
        <w:tab w:val="left" w:pos="720" w:leader="none"/>
      </w:tabs>
      <w:spacing w:lineRule="exact" w:line="480"/>
      <w:ind w:firstLine="720" w:start="0" w:end="0"/>
    </w:pPr>
    <w:rPr>
      <w:color w:val="auto"/>
      <w:lang w:eastAsia="en-US"/>
    </w:rPr>
  </w:style>
  <w:style w:type="paragraph" w:styleId="pi1">
    <w:name w:val="pi1"/>
    <w:basedOn w:val="Normal"/>
    <w:qFormat/>
    <w:pPr>
      <w:widowControl w:val="false"/>
      <w:spacing w:lineRule="exact" w:line="480"/>
      <w:ind w:firstLine="2160" w:start="0" w:end="0"/>
    </w:pPr>
    <w:rPr>
      <w:color w:val="auto"/>
      <w:lang w:eastAsia="en-US"/>
    </w:rPr>
  </w:style>
  <w:style w:type="paragraph" w:styleId="p">
    <w:name w:val="p"/>
    <w:basedOn w:val="Normal"/>
    <w:qFormat/>
    <w:pPr>
      <w:widowControl w:val="false"/>
      <w:spacing w:lineRule="exact" w:line="480"/>
      <w:ind w:firstLine="720" w:start="0" w:end="0"/>
    </w:pPr>
    <w:rPr>
      <w:color w:val="auto"/>
      <w:lang w:eastAsia="en-US"/>
    </w:rPr>
  </w:style>
  <w:style w:type="paragraph" w:styleId="Style11">
    <w:name w:val="Style1"/>
    <w:basedOn w:val="pa"/>
    <w:qFormat/>
    <w:pPr>
      <w:ind w:firstLine="2880" w:start="0" w:end="0"/>
    </w:pPr>
    <w:rPr/>
  </w:style>
  <w:style w:type="paragraph" w:styleId="titlecap">
    <w:name w:val="titlecap"/>
    <w:basedOn w:val="Heading1"/>
    <w:qFormat/>
    <w:pPr>
      <w:numPr>
        <w:ilvl w:val="0"/>
        <w:numId w:val="0"/>
      </w:numPr>
      <w:ind w:hanging="0" w:start="0"/>
      <w:outlineLvl w:val="9"/>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2000-11-06T16:03:00Z</dcterms:created>
  <dc:creator>jcones</dc:creator>
  <dc:description/>
  <dc:language>en-CA</dc:language>
  <cp:lastModifiedBy>scorman</cp:lastModifiedBy>
  <cp:lastPrinted>2000-10-30T14:27:00Z</cp:lastPrinted>
  <dcterms:modified xsi:type="dcterms:W3CDTF">2000-11-06T16:03:00Z</dcterms:modified>
  <cp:revision>2</cp:revision>
  <dc:subject/>
  <dc:title>In order to ensure compliance with the Marketing Affiliate Rule (18 C</dc:title>
</cp:coreProperties>
</file>