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1"/>
        <w:keepNext w:val="false"/>
        <w:ind w:hanging="0" w:start="0" w:end="-720"/>
        <w:jc w:val="both"/>
        <w:rPr>
          <w:rFonts w:ascii="Times New Roman" w:hAnsi="Times New Roman" w:cs="Times New Roman"/>
          <w:color w:val="auto"/>
          <w:sz w:val="20"/>
        </w:rPr>
      </w:pPr>
      <w:r>
        <w:rPr>
          <w:rFonts w:cs="Times New Roman" w:ascii="Times New Roman" w:hAnsi="Times New Roman"/>
          <w:color w:val="auto"/>
          <w:sz w:val="20"/>
        </w:rPr>
      </w:r>
    </w:p>
    <w:p>
      <w:pPr>
        <w:pStyle w:val="Heading1"/>
        <w:keepNext w:val="false"/>
        <w:ind w:hanging="0" w:start="0"/>
        <w:rPr>
          <w:rFonts w:ascii="Times New Roman" w:hAnsi="Times New Roman" w:cs="Times New Roman"/>
          <w:color w:val="auto"/>
          <w:sz w:val="20"/>
        </w:rPr>
      </w:pPr>
      <w:r>
        <w:rPr>
          <w:rFonts w:cs="Times New Roman" w:ascii="Times New Roman" w:hAnsi="Times New Roman"/>
          <w:color w:val="auto"/>
          <w:sz w:val="20"/>
        </w:rPr>
        <w:t>October 25, 2000</w:t>
      </w:r>
    </w:p>
    <w:p>
      <w:pPr>
        <w:pStyle w:val="Normal"/>
        <w:rPr>
          <w:rFonts w:ascii="Times New Roman" w:hAnsi="Times New Roman" w:cs="Times New Roman"/>
          <w:color w:val="auto"/>
          <w:sz w:val="20"/>
        </w:rPr>
      </w:pPr>
      <w:r>
        <w:rPr>
          <w:rFonts w:cs="Times New Roman"/>
          <w:color w:val="auto"/>
          <w:sz w:val="20"/>
        </w:rPr>
      </w:r>
    </w:p>
    <w:p>
      <w:pPr>
        <w:pStyle w:val="Normal"/>
        <w:rPr/>
      </w:pPr>
      <w:r>
        <w:rPr/>
      </w:r>
    </w:p>
    <w:p>
      <w:pPr>
        <w:pStyle w:val="Heading2"/>
        <w:keepNext w:val="false"/>
        <w:ind w:hanging="0" w:end="0"/>
        <w:jc w:val="start"/>
        <w:rPr>
          <w:rFonts w:ascii="Times New Roman" w:hAnsi="Times New Roman" w:cs="Times New Roman"/>
          <w:sz w:val="24"/>
        </w:rPr>
      </w:pPr>
      <w:r>
        <w:rPr>
          <w:rFonts w:cs="Times New Roman" w:ascii="Times New Roman" w:hAnsi="Times New Roman"/>
          <w:sz w:val="24"/>
        </w:rPr>
        <w:t>To:</w:t>
        <w:tab/>
        <w:t>Northern Natural Gas Company Customers</w:t>
      </w:r>
    </w:p>
    <w:p>
      <w:pPr>
        <w:pStyle w:val="Normal"/>
        <w:rPr>
          <w:rFonts w:ascii="Times New Roman" w:hAnsi="Times New Roman" w:cs="Times New Roman"/>
          <w:b/>
          <w:sz w:val="24"/>
        </w:rPr>
      </w:pPr>
      <w:r>
        <w:rPr>
          <w:rFonts w:cs="Times New Roman"/>
          <w:b/>
          <w:sz w:val="24"/>
        </w:rPr>
      </w:r>
    </w:p>
    <w:p>
      <w:pPr>
        <w:pStyle w:val="Normal"/>
        <w:rPr>
          <w:b/>
          <w:sz w:val="24"/>
        </w:rPr>
      </w:pPr>
      <w:r>
        <w:rPr>
          <w:b/>
          <w:sz w:val="24"/>
        </w:rPr>
        <w:t>Re:</w:t>
        <w:tab/>
        <w:t>Announcing Northern Capacity on EnronOnline</w:t>
      </w:r>
    </w:p>
    <w:p>
      <w:pPr>
        <w:pStyle w:val="Normal"/>
        <w:jc w:val="both"/>
        <w:rPr>
          <w:b/>
          <w:sz w:val="24"/>
        </w:rPr>
      </w:pPr>
      <w:r>
        <w:rPr>
          <w:b/>
          <w:sz w:val="24"/>
        </w:rPr>
      </w:r>
    </w:p>
    <w:p>
      <w:pPr>
        <w:pStyle w:val="Normal"/>
        <w:jc w:val="both"/>
        <w:rPr>
          <w:sz w:val="24"/>
        </w:rPr>
      </w:pPr>
      <w:r>
        <w:rPr>
          <w:sz w:val="24"/>
        </w:rPr>
      </w:r>
    </w:p>
    <w:p>
      <w:pPr>
        <w:pStyle w:val="BodyText"/>
        <w:jc w:val="both"/>
        <w:rPr>
          <w:rFonts w:ascii="Times New Roman" w:hAnsi="Times New Roman" w:cs="Times New Roman"/>
          <w:color w:val="auto"/>
          <w:sz w:val="20"/>
        </w:rPr>
      </w:pPr>
      <w:r>
        <w:rPr>
          <w:rFonts w:cs="Times New Roman" w:ascii="Times New Roman" w:hAnsi="Times New Roman"/>
          <w:color w:val="auto"/>
          <w:sz w:val="20"/>
        </w:rPr>
        <w:t>Northern is pleased to announce that it is offering interstate transportation capacity through EnronOnline.  Northern and EnronOnline have teamed up to offer an Internet-based offering of several packages of interstate transportation capacity beginning in November 2000.  Northern is making its capacity available to a broader base of customers through the use of EnronOnline.  With this significant start the possibilities for adding other pipeline products and services on-line should prove virtually limitless.</w:t>
      </w:r>
    </w:p>
    <w:p>
      <w:pPr>
        <w:pStyle w:val="Normal"/>
        <w:jc w:val="both"/>
        <w:rPr>
          <w:rFonts w:ascii="Times New Roman" w:hAnsi="Times New Roman" w:cs="Times New Roman"/>
          <w:color w:val="auto"/>
          <w:sz w:val="20"/>
        </w:rPr>
      </w:pPr>
      <w:r>
        <w:rPr>
          <w:rFonts w:cs="Times New Roman"/>
          <w:color w:val="auto"/>
          <w:sz w:val="20"/>
        </w:rPr>
      </w:r>
    </w:p>
    <w:p>
      <w:pPr>
        <w:pStyle w:val="BodyText"/>
        <w:jc w:val="both"/>
        <w:rPr>
          <w:rFonts w:ascii="Times New Roman" w:hAnsi="Times New Roman" w:cs="Times New Roman"/>
          <w:color w:val="auto"/>
          <w:sz w:val="20"/>
        </w:rPr>
      </w:pPr>
      <w:r>
        <w:rPr>
          <w:rFonts w:cs="Times New Roman" w:ascii="Times New Roman" w:hAnsi="Times New Roman"/>
          <w:color w:val="auto"/>
          <w:sz w:val="20"/>
        </w:rPr>
        <w:t>EnronOnline has quickly become the world’s largest e-commerce site.  Since its launch, EnronOnline has completed commodity transactions with a gross transactional value exceeding $180 billion.  With the popularity of EnronOnline, many of Northern's customers are already using it for commodity transactions and price discovery.  Therefore, having Northern’s capacity available on the same platform results in a much more convenient way for our customers to "shop" for Northern capacity.</w:t>
      </w:r>
    </w:p>
    <w:p>
      <w:pPr>
        <w:pStyle w:val="Normal"/>
        <w:jc w:val="both"/>
        <w:rPr>
          <w:rFonts w:ascii="Times New Roman" w:hAnsi="Times New Roman" w:cs="Times New Roman"/>
          <w:color w:val="auto"/>
          <w:sz w:val="20"/>
        </w:rPr>
      </w:pPr>
      <w:r>
        <w:rPr>
          <w:rFonts w:cs="Times New Roman"/>
          <w:color w:val="auto"/>
          <w:sz w:val="20"/>
        </w:rPr>
      </w:r>
    </w:p>
    <w:p>
      <w:pPr>
        <w:pStyle w:val="BodyText"/>
        <w:jc w:val="both"/>
        <w:rPr>
          <w:rFonts w:ascii="Times New Roman" w:hAnsi="Times New Roman" w:cs="Times New Roman"/>
          <w:color w:val="auto"/>
          <w:sz w:val="20"/>
        </w:rPr>
      </w:pPr>
      <w:r>
        <w:rPr>
          <w:rFonts w:cs="Times New Roman" w:ascii="Times New Roman" w:hAnsi="Times New Roman"/>
          <w:color w:val="auto"/>
          <w:sz w:val="20"/>
        </w:rPr>
        <w:t>Northern will initially offer the capacity packages described on Attachment A.  These packages will be posted on EnronOnline on October 30th and will appear under the product description of “US Gas NNG Cap”.  The offer price and quantity for each package of capacity will be listed under the “Offer” column and the term will be listed under the product description, all of which will appear at the time that the capacity is posted.  A simple click of the mouse is all that is needed to request the service and contract for the capacity at the offer price.</w:t>
      </w:r>
    </w:p>
    <w:p>
      <w:pPr>
        <w:pStyle w:val="Normal"/>
        <w:jc w:val="both"/>
        <w:rPr>
          <w:rFonts w:ascii="Times New Roman" w:hAnsi="Times New Roman" w:cs="Times New Roman"/>
          <w:color w:val="auto"/>
          <w:sz w:val="20"/>
        </w:rPr>
      </w:pPr>
      <w:r>
        <w:rPr>
          <w:rFonts w:cs="Times New Roman"/>
          <w:color w:val="auto"/>
          <w:sz w:val="20"/>
        </w:rPr>
      </w:r>
    </w:p>
    <w:p>
      <w:pPr>
        <w:pStyle w:val="Normal"/>
        <w:jc w:val="both"/>
        <w:rPr/>
      </w:pPr>
      <w:r>
        <w:rPr/>
        <w:t>If you are an existing EnronOnline customer, no registration is required.  Provided you have been approved by Northern’s Credit Department,</w:t>
      </w:r>
      <w:r>
        <w:rPr>
          <w:b/>
        </w:rPr>
        <w:t xml:space="preserve"> </w:t>
      </w:r>
      <w:r>
        <w:rPr/>
        <w:t xml:space="preserve">you may start submitting your bids the day the posting process begins.  If you are not a registered customer, simply complete the online registration forms by going directly to the EnronOnline website at </w:t>
      </w:r>
      <w:hyperlink r:id="rId2">
        <w:r>
          <w:rPr>
            <w:rStyle w:val="Hyperlink"/>
          </w:rPr>
          <w:t>www.enrononline.com</w:t>
        </w:r>
      </w:hyperlink>
      <w:r>
        <w:rPr/>
        <w:t xml:space="preserve">.  </w:t>
      </w:r>
    </w:p>
    <w:p>
      <w:pPr>
        <w:pStyle w:val="Normal"/>
        <w:jc w:val="both"/>
        <w:rPr/>
      </w:pPr>
      <w:r>
        <w:rPr/>
      </w:r>
    </w:p>
    <w:p>
      <w:pPr>
        <w:pStyle w:val="BodyText3"/>
        <w:rPr>
          <w:rFonts w:ascii="Times New Roman" w:hAnsi="Times New Roman" w:cs="Times New Roman"/>
          <w:sz w:val="20"/>
        </w:rPr>
      </w:pPr>
      <w:r>
        <w:rPr>
          <w:rFonts w:cs="Times New Roman" w:ascii="Times New Roman" w:hAnsi="Times New Roman"/>
          <w:sz w:val="20"/>
        </w:rPr>
        <w:t>We view this announcement as an exciting, initial step in our offering of various packages of capacity on EnronOnline.  As always, there is a Northern representative ready to assist you with questions about this or any other product or service, including other available capacity.  For additional information, please call either of the individuals listed below or any of our other Northern Marketing representatives.</w:t>
      </w:r>
    </w:p>
    <w:p>
      <w:pPr>
        <w:pStyle w:val="BodyText3"/>
        <w:jc w:val="start"/>
        <w:rPr>
          <w:rFonts w:ascii="Times New Roman" w:hAnsi="Times New Roman" w:cs="Times New Roman"/>
          <w:sz w:val="20"/>
        </w:rPr>
      </w:pPr>
      <w:r>
        <w:rPr>
          <w:rFonts w:cs="Times New Roman" w:ascii="Times New Roman" w:hAnsi="Times New Roman"/>
          <w:sz w:val="20"/>
        </w:rPr>
      </w:r>
    </w:p>
    <w:tbl>
      <w:tblPr>
        <w:tblW w:w="7488" w:type="dxa"/>
        <w:jc w:val="start"/>
        <w:tblInd w:w="0" w:type="dxa"/>
        <w:tblLayout w:type="fixed"/>
        <w:tblCellMar>
          <w:top w:w="0" w:type="dxa"/>
          <w:start w:w="108" w:type="dxa"/>
          <w:bottom w:w="0" w:type="dxa"/>
          <w:end w:w="108" w:type="dxa"/>
        </w:tblCellMar>
      </w:tblPr>
      <w:tblGrid>
        <w:gridCol w:w="3528"/>
        <w:gridCol w:w="3960"/>
      </w:tblGrid>
      <w:tr>
        <w:trPr/>
        <w:tc>
          <w:tcPr>
            <w:tcW w:w="3528" w:type="dxa"/>
            <w:tcBorders/>
          </w:tcPr>
          <w:p>
            <w:pPr>
              <w:pStyle w:val="BodyText3"/>
              <w:jc w:val="start"/>
              <w:rPr>
                <w:rFonts w:ascii="Times New Roman" w:hAnsi="Times New Roman" w:cs="Times New Roman"/>
                <w:sz w:val="20"/>
              </w:rPr>
            </w:pPr>
            <w:r>
              <w:rPr>
                <w:rFonts w:cs="Times New Roman" w:ascii="Times New Roman" w:hAnsi="Times New Roman"/>
                <w:sz w:val="20"/>
              </w:rPr>
              <w:t xml:space="preserve">Jeff Nielsen: </w:t>
              <w:tab/>
              <w:t>(402) 398-7434</w:t>
            </w:r>
          </w:p>
        </w:tc>
        <w:tc>
          <w:tcPr>
            <w:tcW w:w="3960" w:type="dxa"/>
            <w:tcBorders/>
          </w:tcPr>
          <w:p>
            <w:pPr>
              <w:pStyle w:val="BodyText3"/>
              <w:tabs>
                <w:tab w:val="clear" w:pos="720"/>
                <w:tab w:val="left" w:pos="1872" w:leader="none"/>
              </w:tabs>
              <w:jc w:val="start"/>
              <w:rPr>
                <w:rFonts w:ascii="Times New Roman" w:hAnsi="Times New Roman" w:cs="Times New Roman"/>
                <w:sz w:val="20"/>
              </w:rPr>
            </w:pPr>
            <w:r>
              <w:rPr>
                <w:rFonts w:cs="Times New Roman" w:ascii="Times New Roman" w:hAnsi="Times New Roman"/>
                <w:sz w:val="20"/>
              </w:rPr>
              <w:t>Tracy Schwartzkopf:</w:t>
              <w:tab/>
              <w:t>(402) 398-7383</w:t>
            </w:r>
          </w:p>
        </w:tc>
      </w:tr>
      <w:tr>
        <w:trPr/>
        <w:tc>
          <w:tcPr>
            <w:tcW w:w="3528" w:type="dxa"/>
            <w:tcBorders/>
          </w:tcPr>
          <w:p>
            <w:pPr>
              <w:pStyle w:val="BodyText3"/>
              <w:jc w:val="start"/>
              <w:rPr>
                <w:rFonts w:ascii="Times New Roman" w:hAnsi="Times New Roman" w:cs="Times New Roman"/>
                <w:sz w:val="20"/>
              </w:rPr>
            </w:pPr>
            <w:r>
              <w:rPr>
                <w:rFonts w:cs="Times New Roman" w:ascii="Times New Roman" w:hAnsi="Times New Roman"/>
                <w:sz w:val="20"/>
              </w:rPr>
              <w:t>Eileen Peebles:</w:t>
              <w:tab/>
              <w:t>(402) 398-7406</w:t>
            </w:r>
          </w:p>
        </w:tc>
        <w:tc>
          <w:tcPr>
            <w:tcW w:w="3960" w:type="dxa"/>
            <w:tcBorders/>
          </w:tcPr>
          <w:p>
            <w:pPr>
              <w:pStyle w:val="BodyText3"/>
              <w:tabs>
                <w:tab w:val="clear" w:pos="720"/>
                <w:tab w:val="left" w:pos="1872" w:leader="none"/>
              </w:tabs>
              <w:jc w:val="start"/>
              <w:rPr>
                <w:rFonts w:ascii="Times New Roman" w:hAnsi="Times New Roman" w:cs="Times New Roman"/>
                <w:sz w:val="20"/>
              </w:rPr>
            </w:pPr>
            <w:r>
              <w:rPr>
                <w:rFonts w:cs="Times New Roman" w:ascii="Times New Roman" w:hAnsi="Times New Roman"/>
                <w:sz w:val="20"/>
              </w:rPr>
              <w:t>Vernon Mercaldo:</w:t>
              <w:tab/>
              <w:t>(713) 853-7221</w:t>
            </w:r>
          </w:p>
        </w:tc>
      </w:tr>
    </w:tbl>
    <w:p>
      <w:pPr>
        <w:pStyle w:val="BodyText3"/>
        <w:jc w:val="start"/>
        <w:rPr>
          <w:rFonts w:ascii="Times New Roman" w:hAnsi="Times New Roman" w:cs="Times New Roman"/>
          <w:sz w:val="20"/>
        </w:rPr>
      </w:pPr>
      <w:r>
        <w:rPr>
          <w:rFonts w:cs="Times New Roman" w:ascii="Times New Roman" w:hAnsi="Times New Roman"/>
          <w:sz w:val="20"/>
        </w:rPr>
      </w:r>
    </w:p>
    <w:p>
      <w:pPr>
        <w:pStyle w:val="BodyText3"/>
        <w:jc w:val="start"/>
        <w:rPr>
          <w:rFonts w:ascii="Times New Roman" w:hAnsi="Times New Roman" w:cs="Times New Roman"/>
          <w:sz w:val="20"/>
        </w:rPr>
      </w:pPr>
      <w:r>
        <w:rPr>
          <w:rFonts w:cs="Times New Roman" w:ascii="Times New Roman" w:hAnsi="Times New Roman"/>
          <w:sz w:val="20"/>
        </w:rPr>
        <w:t>For assistance with the use or installation of EnronOnline, please call the EnronOnline Help Desk at 713-853-4357.</w:t>
      </w:r>
    </w:p>
    <w:p>
      <w:pPr>
        <w:pStyle w:val="BodyText3"/>
        <w:jc w:val="start"/>
        <w:rPr>
          <w:rFonts w:ascii="Times New Roman" w:hAnsi="Times New Roman" w:cs="Times New Roman"/>
          <w:sz w:val="20"/>
        </w:rPr>
      </w:pPr>
      <w:r>
        <w:rPr>
          <w:rFonts w:cs="Times New Roman" w:ascii="Times New Roman" w:hAnsi="Times New Roman"/>
          <w:sz w:val="20"/>
        </w:rPr>
      </w:r>
    </w:p>
    <w:p>
      <w:pPr>
        <w:pStyle w:val="BodyText3"/>
        <w:jc w:val="start"/>
        <w:rPr>
          <w:rFonts w:ascii="Times New Roman" w:hAnsi="Times New Roman" w:cs="Times New Roman"/>
          <w:sz w:val="20"/>
        </w:rPr>
      </w:pPr>
      <w:r>
        <w:rPr>
          <w:rFonts w:cs="Times New Roman" w:ascii="Times New Roman" w:hAnsi="Times New Roman"/>
          <w:sz w:val="20"/>
        </w:rPr>
        <w:t>Sincerely,</w:t>
      </w:r>
    </w:p>
    <w:p>
      <w:pPr>
        <w:pStyle w:val="BodyText3"/>
        <w:jc w:val="start"/>
        <w:rPr>
          <w:rFonts w:ascii="Times New Roman" w:hAnsi="Times New Roman" w:cs="Times New Roman"/>
          <w:sz w:val="20"/>
        </w:rPr>
      </w:pPr>
      <w:r>
        <w:rPr>
          <w:rFonts w:cs="Times New Roman" w:ascii="Times New Roman" w:hAnsi="Times New Roman"/>
          <w:sz w:val="20"/>
        </w:rPr>
      </w:r>
    </w:p>
    <w:p>
      <w:pPr>
        <w:pStyle w:val="BodyText3"/>
        <w:jc w:val="start"/>
        <w:rPr>
          <w:rFonts w:ascii="Times New Roman" w:hAnsi="Times New Roman" w:cs="Times New Roman"/>
          <w:sz w:val="20"/>
        </w:rPr>
      </w:pPr>
      <w:r>
        <w:rPr>
          <w:rFonts w:cs="Times New Roman" w:ascii="Times New Roman" w:hAnsi="Times New Roman"/>
          <w:sz w:val="20"/>
        </w:rPr>
      </w:r>
    </w:p>
    <w:p>
      <w:pPr>
        <w:pStyle w:val="BodyText3"/>
        <w:jc w:val="start"/>
        <w:rPr>
          <w:rFonts w:ascii="Times New Roman" w:hAnsi="Times New Roman" w:cs="Times New Roman"/>
          <w:sz w:val="20"/>
        </w:rPr>
      </w:pPr>
      <w:r>
        <w:rPr>
          <w:rFonts w:cs="Times New Roman" w:ascii="Times New Roman" w:hAnsi="Times New Roman"/>
          <w:sz w:val="20"/>
        </w:rPr>
      </w:r>
    </w:p>
    <w:p>
      <w:pPr>
        <w:pStyle w:val="BodyText3"/>
        <w:jc w:val="start"/>
        <w:rPr>
          <w:rFonts w:ascii="Times New Roman" w:hAnsi="Times New Roman" w:cs="Times New Roman"/>
          <w:sz w:val="20"/>
        </w:rPr>
      </w:pPr>
      <w:r>
        <w:rPr>
          <w:rFonts w:cs="Times New Roman" w:ascii="Times New Roman" w:hAnsi="Times New Roman"/>
          <w:sz w:val="20"/>
        </w:rPr>
        <w:t>Dave Neubauer</w:t>
      </w:r>
    </w:p>
    <w:p>
      <w:pPr>
        <w:pStyle w:val="BodyText3"/>
        <w:jc w:val="start"/>
        <w:rPr>
          <w:rFonts w:ascii="Times New Roman" w:hAnsi="Times New Roman" w:cs="Times New Roman"/>
          <w:sz w:val="20"/>
        </w:rPr>
      </w:pPr>
      <w:r>
        <w:rPr>
          <w:rFonts w:cs="Times New Roman" w:ascii="Times New Roman" w:hAnsi="Times New Roman"/>
          <w:sz w:val="20"/>
        </w:rPr>
        <w:t>Vice President, Northern Natural Gas Company</w:t>
      </w:r>
    </w:p>
    <w:p>
      <w:pPr>
        <w:pStyle w:val="Normal"/>
        <w:ind w:start="-540" w:end="-720"/>
        <w:rPr>
          <w:rFonts w:ascii="Times New Roman" w:hAnsi="Times New Roman" w:cs="Times New Roman"/>
          <w:sz w:val="20"/>
        </w:rPr>
      </w:pPr>
      <w:r>
        <w:rPr>
          <w:rFonts w:cs="Times New Roman"/>
          <w:sz w:val="20"/>
        </w:rPr>
      </w:r>
    </w:p>
    <w:p>
      <w:pPr>
        <w:pStyle w:val="Normal"/>
        <w:tabs>
          <w:tab w:val="clear" w:pos="720"/>
          <w:tab w:val="left" w:pos="4410" w:leader="none"/>
        </w:tabs>
        <w:ind w:start="-540" w:end="-720"/>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rPr>
      </w:pPr>
      <w:r>
        <w:rPr>
          <w:b/>
        </w:rPr>
        <w:t>ATTACHMENT A</w:t>
      </w:r>
    </w:p>
    <w:p>
      <w:pPr>
        <w:pStyle w:val="Normal"/>
        <w:jc w:val="center"/>
        <w:rPr>
          <w:b/>
        </w:rPr>
      </w:pPr>
      <w:r>
        <w:rPr>
          <w:b/>
        </w:rPr>
      </w:r>
    </w:p>
    <w:p>
      <w:pPr>
        <w:pStyle w:val="Normal"/>
        <w:jc w:val="center"/>
        <w:rPr>
          <w:b/>
        </w:rPr>
      </w:pPr>
      <w:r>
        <w:rPr>
          <w:b/>
        </w:rPr>
        <w:t>Northern Natural Gas Company</w:t>
      </w:r>
    </w:p>
    <w:p>
      <w:pPr>
        <w:pStyle w:val="Normal"/>
        <w:jc w:val="center"/>
        <w:rPr>
          <w:b/>
        </w:rPr>
      </w:pPr>
      <w:r>
        <w:rPr>
          <w:b/>
        </w:rPr>
        <w:t>Capacity Offered On EnronOnline</w:t>
      </w:r>
    </w:p>
    <w:p>
      <w:pPr>
        <w:pStyle w:val="Normal"/>
        <w:tabs>
          <w:tab w:val="clear" w:pos="720"/>
          <w:tab w:val="left" w:pos="4410" w:leader="none"/>
        </w:tabs>
        <w:ind w:end="-720"/>
        <w:rPr>
          <w:b/>
        </w:rPr>
      </w:pPr>
      <w:r>
        <w:rPr>
          <w:b/>
        </w:rPr>
      </w:r>
    </w:p>
    <w:p>
      <w:pPr>
        <w:pStyle w:val="Normal"/>
        <w:tabs>
          <w:tab w:val="clear" w:pos="720"/>
          <w:tab w:val="left" w:pos="4410" w:leader="none"/>
        </w:tabs>
        <w:ind w:end="-720"/>
        <w:jc w:val="both"/>
        <w:rPr/>
      </w:pPr>
      <w:r>
        <w:rPr/>
      </w:r>
    </w:p>
    <w:p>
      <w:pPr>
        <w:pStyle w:val="Normal"/>
        <w:tabs>
          <w:tab w:val="clear" w:pos="720"/>
          <w:tab w:val="left" w:pos="4410" w:leader="none"/>
        </w:tabs>
        <w:ind w:end="-720"/>
        <w:jc w:val="both"/>
        <w:rPr/>
      </w:pPr>
      <w:r>
        <w:rPr/>
      </w:r>
    </w:p>
    <w:p>
      <w:pPr>
        <w:pStyle w:val="BlockText"/>
        <w:numPr>
          <w:ilvl w:val="0"/>
          <w:numId w:val="2"/>
        </w:numPr>
        <w:tabs>
          <w:tab w:val="clear" w:pos="4410"/>
        </w:tabs>
        <w:ind w:hanging="360" w:start="360" w:end="0"/>
        <w:jc w:val="both"/>
        <w:rPr>
          <w:rFonts w:ascii="Times New Roman" w:hAnsi="Times New Roman" w:cs="Times New Roman"/>
          <w:sz w:val="20"/>
        </w:rPr>
      </w:pPr>
      <w:r>
        <w:rPr>
          <w:rFonts w:cs="Times New Roman" w:ascii="Times New Roman" w:hAnsi="Times New Roman"/>
          <w:sz w:val="20"/>
          <w:u w:val="single"/>
        </w:rPr>
        <w:t xml:space="preserve">Perm1 to O/Waha </w:t>
      </w:r>
      <w:r>
        <w:rPr>
          <w:rFonts w:cs="Times New Roman" w:ascii="Times New Roman" w:hAnsi="Times New Roman"/>
          <w:sz w:val="20"/>
        </w:rPr>
        <w:t xml:space="preserve"> - This transaction provides firm pipeline transportation capacity with the primary receipt point of the Permian Pool (POI 54009) and primary delivery point of NNG/Oasis Waha (POI 62148).  The posted rate is the daily reservation rate, which is also applicable for all alternate receipt and delivery points in MIDS 1-7, with the exception of Argus Zone points,  Field Area TBSs, Irion Co.#1 (POI 22265),  Palo Duro/Transok (POI 62738), WTG-G.M. Walls &amp; Son (POI 5238) and Western Oklahoma Expansion Tie-In (POI 52663).   In addition, the following charges apply: the maximum commodity charge; all applicable surcharges; and fuel use and unaccounted for.</w:t>
      </w:r>
    </w:p>
    <w:p>
      <w:pPr>
        <w:pStyle w:val="Normal"/>
        <w:tabs>
          <w:tab w:val="clear" w:pos="720"/>
          <w:tab w:val="left" w:pos="4410" w:leader="none"/>
        </w:tabs>
        <w:ind w:end="-720"/>
        <w:jc w:val="both"/>
        <w:rPr>
          <w:rFonts w:ascii="Times New Roman" w:hAnsi="Times New Roman" w:cs="Times New Roman"/>
          <w:sz w:val="20"/>
        </w:rPr>
      </w:pPr>
      <w:r>
        <w:rPr>
          <w:rFonts w:cs="Times New Roman"/>
          <w:sz w:val="20"/>
        </w:rPr>
      </w:r>
    </w:p>
    <w:p>
      <w:pPr>
        <w:pStyle w:val="Normal"/>
        <w:numPr>
          <w:ilvl w:val="0"/>
          <w:numId w:val="2"/>
        </w:numPr>
        <w:tabs>
          <w:tab w:val="clear" w:pos="720"/>
          <w:tab w:val="left" w:pos="1440" w:leader="none"/>
          <w:tab w:val="left" w:pos="4410" w:leader="none"/>
        </w:tabs>
        <w:ind w:hanging="360" w:start="360" w:end="288"/>
        <w:jc w:val="both"/>
        <w:rPr/>
      </w:pPr>
      <w:r>
        <w:rPr>
          <w:u w:val="single"/>
        </w:rPr>
        <w:t xml:space="preserve">Perm2 to O/Waha </w:t>
      </w:r>
      <w:r>
        <w:rPr/>
        <w:t xml:space="preserve"> - This transaction provides firm pipeline transportation capacity with the primary receipt point of the Permian Pool (POI 54009) and primary delivery point of NNG/Oasis Waha (POI 62148). The posted rate is the daily reservation rate, which is also applicable for all alternate receipt and delivery points in MIDS 1-16B, with the exception of Argus Zone points and Field Area TBSs, Irion Co.#1 (POI 22265),  Palo Duro/Transok (POI 62738), WTG-G.M. Walls &amp; Son (POI 5238) and Western Oklahoma Expansion Tie-In (POI 52663).  In addition, the following charges apply: the maximum commodity charge; all applicable surcharges; and fuel use and unaccounted for.</w:t>
      </w:r>
    </w:p>
    <w:p>
      <w:pPr>
        <w:pStyle w:val="Normal"/>
        <w:tabs>
          <w:tab w:val="clear" w:pos="720"/>
          <w:tab w:val="left" w:pos="1440" w:leader="none"/>
          <w:tab w:val="left" w:pos="4410" w:leader="none"/>
        </w:tabs>
        <w:ind w:end="-720"/>
        <w:jc w:val="both"/>
        <w:rPr/>
      </w:pPr>
      <w:r>
        <w:rPr/>
      </w:r>
    </w:p>
    <w:p>
      <w:pPr>
        <w:pStyle w:val="BlockText"/>
        <w:numPr>
          <w:ilvl w:val="0"/>
          <w:numId w:val="2"/>
        </w:numPr>
        <w:tabs>
          <w:tab w:val="left" w:pos="1440" w:leader="none"/>
          <w:tab w:val="left" w:pos="4410" w:leader="none"/>
        </w:tabs>
        <w:ind w:hanging="360" w:start="360" w:end="0"/>
        <w:jc w:val="both"/>
        <w:rPr>
          <w:rFonts w:ascii="Times New Roman" w:hAnsi="Times New Roman" w:cs="Times New Roman"/>
          <w:sz w:val="20"/>
        </w:rPr>
      </w:pPr>
      <w:r>
        <w:rPr>
          <w:rFonts w:cs="Times New Roman" w:ascii="Times New Roman" w:hAnsi="Times New Roman"/>
          <w:sz w:val="20"/>
          <w:u w:val="single"/>
        </w:rPr>
        <w:t xml:space="preserve">MidCo to PE/Mul </w:t>
      </w:r>
      <w:r>
        <w:rPr>
          <w:rFonts w:cs="Times New Roman" w:ascii="Times New Roman" w:hAnsi="Times New Roman"/>
          <w:sz w:val="20"/>
        </w:rPr>
        <w:t xml:space="preserve"> - This transaction provides firm transportation pipeline capacity with the primary receipt point of the Mid Continent Pool (POI 61020) and primary delivery point of PEPL/NNG Mullinville (POI 173).  The posted rate is the daily reservation rate, which is also applicable for all alternate receipt and delivery points in MIDS 8-16B, with the exception of Argus Zone points and Field Area TBSs, Irion Co.#1 (POI 22265), Palo Duro/Transok (POI 62738), WTG-G.M. Walls &amp; Son (POI 5238) and Western Oklahoma Expansion Tie-In (POI 52663).  In addition, the following charges apply: the maximum commodity charge; all applicable surcharges; and fuel use and unaccounted for.</w:t>
      </w:r>
    </w:p>
    <w:p>
      <w:pPr>
        <w:pStyle w:val="Normal"/>
        <w:tabs>
          <w:tab w:val="clear" w:pos="720"/>
          <w:tab w:val="left" w:pos="1440" w:leader="none"/>
        </w:tabs>
        <w:jc w:val="both"/>
        <w:rPr>
          <w:rFonts w:ascii="Times New Roman" w:hAnsi="Times New Roman" w:cs="Times New Roman"/>
          <w:sz w:val="20"/>
        </w:rPr>
      </w:pPr>
      <w:r>
        <w:rPr>
          <w:rFonts w:cs="Times New Roman"/>
          <w:sz w:val="20"/>
        </w:rPr>
      </w:r>
    </w:p>
    <w:p>
      <w:pPr>
        <w:pStyle w:val="Normal"/>
        <w:tabs>
          <w:tab w:val="clear" w:pos="720"/>
          <w:tab w:val="left" w:pos="1440" w:leader="none"/>
          <w:tab w:val="left" w:pos="4410" w:leader="none"/>
        </w:tabs>
        <w:ind w:end="-720"/>
        <w:jc w:val="both"/>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ll MT">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Bell MT;Times New Roman" w:hAnsi="Bell MT;Times New Roman" w:cs="Bell MT;Times New Roman"/>
      <w:color w:val="0000FF"/>
      <w:sz w:val="24"/>
    </w:rPr>
  </w:style>
  <w:style w:type="paragraph" w:styleId="Heading2">
    <w:name w:val="heading 2"/>
    <w:basedOn w:val="Normal"/>
    <w:next w:val="Normal"/>
    <w:qFormat/>
    <w:pPr>
      <w:keepNext w:val="true"/>
      <w:numPr>
        <w:ilvl w:val="1"/>
        <w:numId w:val="1"/>
      </w:numPr>
      <w:ind w:hanging="540" w:start="0" w:end="-720"/>
      <w:jc w:val="both"/>
      <w:outlineLvl w:val="1"/>
    </w:pPr>
    <w:rPr>
      <w:rFonts w:ascii="Bell MT;Times New Roman" w:hAnsi="Bell MT;Times New Roman" w:cs="Bell MT;Times New Roman"/>
      <w:b/>
      <w:sz w:val="22"/>
    </w:rPr>
  </w:style>
  <w:style w:type="paragraph" w:styleId="Heading3">
    <w:name w:val="heading 3"/>
    <w:basedOn w:val="Normal"/>
    <w:next w:val="Normal"/>
    <w:qFormat/>
    <w:pPr>
      <w:keepNext w:val="true"/>
      <w:numPr>
        <w:ilvl w:val="2"/>
        <w:numId w:val="1"/>
      </w:numPr>
      <w:jc w:val="center"/>
      <w:outlineLvl w:val="2"/>
    </w:pPr>
    <w:rPr>
      <w:b/>
    </w:rPr>
  </w:style>
  <w:style w:type="character" w:styleId="WW8Num1z0">
    <w:name w:val="WW8Num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Bell MT;Times New Roman" w:hAnsi="Bell MT;Times New Roman" w:cs="Bell MT;Times New Roman"/>
      <w:color w:val="0000FF"/>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0" w:end="-720"/>
      <w:jc w:val="both"/>
    </w:pPr>
    <w:rPr>
      <w:rFonts w:ascii="Bell MT;Times New Roman" w:hAnsi="Bell MT;Times New Roman" w:cs="Bell MT;Times New Roman"/>
      <w:sz w:val="22"/>
    </w:rPr>
  </w:style>
  <w:style w:type="paragraph" w:styleId="BlockText">
    <w:name w:val="Block Text"/>
    <w:basedOn w:val="Normal"/>
    <w:qFormat/>
    <w:pPr>
      <w:tabs>
        <w:tab w:val="clear" w:pos="720"/>
        <w:tab w:val="left" w:pos="4410" w:leader="none"/>
      </w:tabs>
      <w:ind w:hanging="0" w:start="-540" w:end="-720"/>
    </w:pPr>
    <w:rPr>
      <w:rFonts w:ascii="Bell MT;Times New Roman" w:hAnsi="Bell MT;Times New Roman" w:cs="Bell MT;Times New Roman"/>
      <w:sz w:val="22"/>
    </w:rPr>
  </w:style>
  <w:style w:type="paragraph" w:styleId="BodyText3">
    <w:name w:val="Body Text 3"/>
    <w:basedOn w:val="Normal"/>
    <w:qFormat/>
    <w:pPr>
      <w:jc w:val="both"/>
    </w:pPr>
    <w:rPr>
      <w:rFonts w:ascii="Bell MT;Times New Roman" w:hAnsi="Bell MT;Times New Roman" w:cs="Bell MT;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doc/www.enrononline.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2000-10-25T12:04:00Z</dcterms:created>
  <dc:creator>jeffery c. fawcett</dc:creator>
  <dc:description/>
  <dc:language>en-CA</dc:language>
  <cp:lastModifiedBy>ET&amp;S</cp:lastModifiedBy>
  <cp:lastPrinted>2000-10-25T09:25:00Z</cp:lastPrinted>
  <dcterms:modified xsi:type="dcterms:W3CDTF">2000-10-25T12:04:00Z</dcterms:modified>
  <cp:revision>2</cp:revision>
  <dc:subject/>
  <dc:title>Transwestern is pleased to announce another new service on its pipeline</dc:title>
</cp:coreProperties>
</file>