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7500 Old Georgetown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Bethesda, MD 20814-6133</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(301) 280-6711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Saturday, September 1, 2001 through Sunday, September 30, 2001. </w:t>
              <w:t xml:space="preserve">Hour Ending (HE) 0700 through HE 2200 (16 Hours each day), </w:t>
              <w:t xml:space="preserve">Monday through Friday only, excluding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$31.10/MWh.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15,200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 Border</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Border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27, 1996</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continuous"/>
      <w:pgSz w:w="11906" w:h="15840"/>
      <w:pgMar w:left="1152" w:right="1095"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03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EOL 1729905</w:t>
    </w:r>
    <w:r>
      <w:rPr>
        <w:rFonts w:cs="Arial" w:ascii="Arial" w:hAnsi="Arial"/>
      </w:rPr>
      <w:fldChar w:fldCharType="end"/>
    </w:r>
  </w:p>
  <w:p>
    <w:pPr>
      <w:pStyle w:val="Header"/>
      <w:tabs>
        <w:tab w:val="center" w:pos="4320" w:leader="none"/>
        <w:tab w:val="left" w:pos="7380" w:leader="none"/>
        <w:tab w:val="right" w:pos="8640" w:leader="none"/>
      </w:tabs>
      <w:ind w:start="603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740099.01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2001-08-21T16:40:00Z</dcterms:created>
  <dc:creator>EOL 1729905</dc:creator>
  <dc:description/>
  <dc:language>en-CA</dc:language>
  <cp:lastModifiedBy>mmurphy</cp:lastModifiedBy>
  <dcterms:modified xsi:type="dcterms:W3CDTF">2001-08-21T16:40:00Z</dcterms:modified>
  <cp:revision>2</cp:revision>
  <dc:subject/>
  <dc:title>740099.01</dc:title>
</cp:coreProperties>
</file>